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D3" w:rsidRPr="00A855D3" w:rsidRDefault="002F4FD3">
      <w:pPr>
        <w:rPr>
          <w:lang w:val="en-US"/>
        </w:rPr>
      </w:pPr>
      <w:r>
        <w:t>﻿</w:t>
      </w:r>
    </w:p>
    <w:p w:rsidR="00A855D3" w:rsidRPr="00A855D3" w:rsidRDefault="00A855D3" w:rsidP="00A855D3">
      <w:pPr>
        <w:shd w:val="clear" w:color="auto" w:fill="FFFFFF"/>
        <w:spacing w:before="100"/>
        <w:jc w:val="center"/>
        <w:divId w:val="531184906"/>
        <w:rPr>
          <w:caps/>
          <w:color w:val="000080"/>
          <w:lang w:val="en-US"/>
        </w:rPr>
      </w:pPr>
      <w:r w:rsidRPr="00A855D3">
        <w:rPr>
          <w:caps/>
          <w:color w:val="000080"/>
          <w:lang w:val="en-US"/>
        </w:rPr>
        <w:t xml:space="preserve"> THE MINISTER OF HIGHER AND SECONDARY SPECIAL EDUCATION OF THE REPUBLIC OF UZBEKISTAN</w:t>
      </w:r>
    </w:p>
    <w:p w:rsidR="002F4FD3" w:rsidRPr="002B38AD" w:rsidRDefault="00A855D3" w:rsidP="00A855D3">
      <w:pPr>
        <w:shd w:val="clear" w:color="auto" w:fill="FFFFFF"/>
        <w:jc w:val="center"/>
        <w:divId w:val="531184906"/>
        <w:rPr>
          <w:caps/>
          <w:color w:val="000080"/>
          <w:lang w:val="en-US"/>
        </w:rPr>
      </w:pPr>
      <w:r w:rsidRPr="002B38AD">
        <w:rPr>
          <w:caps/>
          <w:color w:val="000080"/>
          <w:lang w:val="en-US"/>
        </w:rPr>
        <w:t>COMMAND</w:t>
      </w:r>
    </w:p>
    <w:p w:rsidR="002F4FD3" w:rsidRPr="002B38AD" w:rsidRDefault="002B38AD">
      <w:pPr>
        <w:shd w:val="clear" w:color="auto" w:fill="FFFFFF"/>
        <w:jc w:val="center"/>
        <w:divId w:val="1172378558"/>
        <w:rPr>
          <w:b/>
          <w:bCs/>
          <w:caps/>
          <w:color w:val="000080"/>
          <w:lang w:val="en-US"/>
        </w:rPr>
      </w:pPr>
      <w:r w:rsidRPr="002B38AD">
        <w:rPr>
          <w:b/>
          <w:bCs/>
          <w:caps/>
          <w:color w:val="000080"/>
          <w:lang w:val="en-US"/>
        </w:rPr>
        <w:t>ON THE APPROVAL OF THE REGULATION ON THE CONTROL AND ASSESSMENT SYSTEM OF STUDENTS' EDUCATION IN HIGHER EDUCATION INSTITUTIONS</w:t>
      </w:r>
    </w:p>
    <w:p w:rsidR="002B38AD" w:rsidRDefault="002B38AD">
      <w:pPr>
        <w:shd w:val="clear" w:color="auto" w:fill="FFFFFF"/>
        <w:ind w:firstLine="851"/>
        <w:jc w:val="both"/>
        <w:divId w:val="531184906"/>
        <w:rPr>
          <w:b/>
          <w:bCs/>
          <w:color w:val="000000"/>
          <w:lang w:val="en-US"/>
        </w:rPr>
      </w:pPr>
      <w:r w:rsidRPr="002B38AD">
        <w:rPr>
          <w:b/>
          <w:bCs/>
          <w:color w:val="000000"/>
          <w:lang w:val="en-US"/>
        </w:rPr>
        <w:t>[Registered by the Ministry of Justice of the Republic of Uzbekistan on September 26, 2018, list number 3069]</w:t>
      </w:r>
    </w:p>
    <w:p w:rsidR="002B38AD" w:rsidRPr="002B38AD" w:rsidRDefault="002B38AD" w:rsidP="002B38AD">
      <w:pPr>
        <w:pStyle w:val="a5"/>
        <w:divId w:val="1803884444"/>
        <w:rPr>
          <w:lang w:val="en-US"/>
        </w:rPr>
      </w:pPr>
      <w:r w:rsidRPr="002B38AD">
        <w:rPr>
          <w:lang w:val="en-US"/>
        </w:rPr>
        <w:t xml:space="preserve">In accordance with the Resolution of the President of the Republic of Uzbekistan No. PQ-3775 dated June 5, 2018, </w:t>
      </w:r>
      <w:r w:rsidRPr="002B38AD">
        <w:rPr>
          <w:rStyle w:val="a6"/>
          <w:lang w:val="en-US"/>
        </w:rPr>
        <w:t>"On Additional Measures to Improve the Quality of Education in Higher Educational Institutions and Ensure Their Active Participation in the Comprehensive Reforms Being Implemented in the Country,"</w:t>
      </w:r>
      <w:r w:rsidRPr="002B38AD">
        <w:rPr>
          <w:lang w:val="en-US"/>
        </w:rPr>
        <w:t xml:space="preserve"> I hereby order:</w:t>
      </w:r>
    </w:p>
    <w:p w:rsidR="002B38AD" w:rsidRPr="002B38AD" w:rsidRDefault="002B38AD" w:rsidP="002B38AD">
      <w:pPr>
        <w:numPr>
          <w:ilvl w:val="0"/>
          <w:numId w:val="1"/>
        </w:numPr>
        <w:spacing w:before="100" w:beforeAutospacing="1" w:after="100" w:afterAutospacing="1"/>
        <w:divId w:val="1803884444"/>
        <w:rPr>
          <w:lang w:val="en-US"/>
        </w:rPr>
      </w:pPr>
      <w:r w:rsidRPr="002B38AD">
        <w:rPr>
          <w:lang w:val="en-US"/>
        </w:rPr>
        <w:t xml:space="preserve">The </w:t>
      </w:r>
      <w:r w:rsidRPr="002B38AD">
        <w:rPr>
          <w:rStyle w:val="a6"/>
          <w:lang w:val="en-US"/>
        </w:rPr>
        <w:t>Regulations on the System of Monitoring and Assessing Students' Knowledge in Higher Educational Institutions</w:t>
      </w:r>
      <w:r w:rsidRPr="002B38AD">
        <w:rPr>
          <w:lang w:val="en-US"/>
        </w:rPr>
        <w:t xml:space="preserve"> shall be approved in accordance with the annex.</w:t>
      </w:r>
    </w:p>
    <w:p w:rsidR="002B38AD" w:rsidRPr="002B38AD" w:rsidRDefault="002B38AD" w:rsidP="002B38AD">
      <w:pPr>
        <w:numPr>
          <w:ilvl w:val="0"/>
          <w:numId w:val="1"/>
        </w:numPr>
        <w:spacing w:before="100" w:beforeAutospacing="1" w:after="100" w:afterAutospacing="1"/>
        <w:divId w:val="1803884444"/>
        <w:rPr>
          <w:lang w:val="en-US"/>
        </w:rPr>
      </w:pPr>
      <w:r w:rsidRPr="002B38AD">
        <w:rPr>
          <w:lang w:val="en-US"/>
        </w:rPr>
        <w:t>This order shall come into force from the date of its official publication.</w:t>
      </w:r>
    </w:p>
    <w:p w:rsidR="002B38AD" w:rsidRDefault="002B38AD">
      <w:pPr>
        <w:shd w:val="clear" w:color="auto" w:fill="FFFFFF"/>
        <w:jc w:val="center"/>
        <w:divId w:val="1412190355"/>
        <w:rPr>
          <w:b/>
          <w:bCs/>
          <w:color w:val="000000"/>
          <w:lang w:val="en-US"/>
        </w:rPr>
      </w:pPr>
      <w:r>
        <w:rPr>
          <w:b/>
          <w:bCs/>
          <w:color w:val="000000"/>
          <w:lang w:val="en-US"/>
        </w:rPr>
        <w:t xml:space="preserve">                                                                                                  The </w:t>
      </w:r>
      <w:proofErr w:type="spellStart"/>
      <w:r>
        <w:rPr>
          <w:b/>
          <w:bCs/>
          <w:color w:val="000000"/>
          <w:lang w:val="en-US"/>
        </w:rPr>
        <w:t>Ministr</w:t>
      </w:r>
      <w:proofErr w:type="spellEnd"/>
      <w:r>
        <w:rPr>
          <w:b/>
          <w:bCs/>
          <w:color w:val="000000"/>
          <w:lang w:val="en-US"/>
        </w:rPr>
        <w:t xml:space="preserve"> </w:t>
      </w:r>
      <w:proofErr w:type="spellStart"/>
      <w:r>
        <w:rPr>
          <w:b/>
          <w:bCs/>
          <w:color w:val="000000"/>
          <w:lang w:val="en-US"/>
        </w:rPr>
        <w:t>Majidov</w:t>
      </w:r>
      <w:proofErr w:type="spellEnd"/>
      <w:r>
        <w:rPr>
          <w:b/>
          <w:bCs/>
          <w:color w:val="000000"/>
          <w:lang w:val="en-US"/>
        </w:rPr>
        <w:t xml:space="preserve"> I.</w:t>
      </w:r>
    </w:p>
    <w:p w:rsidR="0025648D" w:rsidRPr="0025648D" w:rsidRDefault="0025648D" w:rsidP="0025648D">
      <w:pPr>
        <w:spacing w:before="100" w:beforeAutospacing="1" w:after="100" w:afterAutospacing="1"/>
        <w:divId w:val="859389628"/>
        <w:rPr>
          <w:lang w:val="en-US"/>
        </w:rPr>
      </w:pPr>
      <w:r w:rsidRPr="0025648D">
        <w:rPr>
          <w:b/>
          <w:bCs/>
          <w:lang w:val="en-US"/>
        </w:rPr>
        <w:t>Tashkent</w:t>
      </w:r>
      <w:proofErr w:type="gramStart"/>
      <w:r w:rsidRPr="0025648D">
        <w:rPr>
          <w:b/>
          <w:bCs/>
          <w:lang w:val="en-US"/>
        </w:rPr>
        <w:t>,</w:t>
      </w:r>
      <w:proofErr w:type="gramEnd"/>
      <w:r w:rsidRPr="0025648D">
        <w:rPr>
          <w:lang w:val="en-US"/>
        </w:rPr>
        <w:br/>
        <w:t>August 9, 2018,</w:t>
      </w:r>
      <w:r w:rsidRPr="0025648D">
        <w:rPr>
          <w:lang w:val="en-US"/>
        </w:rPr>
        <w:br/>
        <w:t>Order No. 19-2018</w:t>
      </w:r>
    </w:p>
    <w:p w:rsidR="0025648D" w:rsidRPr="0025648D" w:rsidRDefault="0025648D" w:rsidP="0025648D">
      <w:pPr>
        <w:spacing w:before="100" w:beforeAutospacing="1" w:after="100" w:afterAutospacing="1"/>
        <w:divId w:val="859389628"/>
        <w:rPr>
          <w:lang w:val="en-US"/>
        </w:rPr>
      </w:pPr>
      <w:r w:rsidRPr="0025648D">
        <w:rPr>
          <w:b/>
          <w:bCs/>
          <w:lang w:val="en-US"/>
        </w:rPr>
        <w:t>ANNEX</w:t>
      </w:r>
      <w:r w:rsidRPr="0025648D">
        <w:rPr>
          <w:lang w:val="en-US"/>
        </w:rPr>
        <w:br/>
        <w:t>to the Order of the Minister of Higher and Secondary Specialized Education of the Republic of Uzbekistan No. 19-2018 dated August 9, 2018</w:t>
      </w:r>
    </w:p>
    <w:p w:rsidR="0025648D" w:rsidRPr="0025648D" w:rsidRDefault="0025648D" w:rsidP="0025648D">
      <w:pPr>
        <w:spacing w:before="100" w:beforeAutospacing="1" w:after="100" w:afterAutospacing="1"/>
        <w:outlineLvl w:val="2"/>
        <w:divId w:val="859389628"/>
        <w:rPr>
          <w:b/>
          <w:bCs/>
          <w:sz w:val="27"/>
          <w:szCs w:val="27"/>
          <w:lang w:val="en-US"/>
        </w:rPr>
      </w:pPr>
      <w:r w:rsidRPr="0025648D">
        <w:rPr>
          <w:b/>
          <w:bCs/>
          <w:sz w:val="27"/>
          <w:szCs w:val="27"/>
          <w:lang w:val="en-US"/>
        </w:rPr>
        <w:t>REGULATIONS</w:t>
      </w:r>
    </w:p>
    <w:p w:rsidR="0025648D" w:rsidRPr="0025648D" w:rsidRDefault="0025648D" w:rsidP="0025648D">
      <w:pPr>
        <w:spacing w:before="100" w:beforeAutospacing="1" w:after="100" w:afterAutospacing="1"/>
        <w:divId w:val="859389628"/>
        <w:rPr>
          <w:lang w:val="en-US"/>
        </w:rPr>
      </w:pPr>
      <w:proofErr w:type="gramStart"/>
      <w:r w:rsidRPr="0025648D">
        <w:rPr>
          <w:b/>
          <w:bCs/>
          <w:lang w:val="en-US"/>
        </w:rPr>
        <w:t>on</w:t>
      </w:r>
      <w:proofErr w:type="gramEnd"/>
      <w:r w:rsidRPr="0025648D">
        <w:rPr>
          <w:b/>
          <w:bCs/>
          <w:lang w:val="en-US"/>
        </w:rPr>
        <w:t xml:space="preserve"> the System of Monitoring and Assessing Students' Knowledge in Higher Educational Institutions</w:t>
      </w:r>
    </w:p>
    <w:p w:rsidR="0025648D" w:rsidRPr="0025648D" w:rsidRDefault="0025648D" w:rsidP="0025648D">
      <w:pPr>
        <w:spacing w:before="100" w:beforeAutospacing="1" w:after="100" w:afterAutospacing="1"/>
        <w:divId w:val="859389628"/>
        <w:rPr>
          <w:lang w:val="en-US"/>
        </w:rPr>
      </w:pPr>
      <w:r w:rsidRPr="0025648D">
        <w:rPr>
          <w:lang w:val="en-US"/>
        </w:rPr>
        <w:t xml:space="preserve">These Regulations establish the system for monitoring and assessing students' knowledge in higher educational institutions in accordance with the Resolution of the President of the Republic of Uzbekistan No. PQ-3775 dated June 5, 2018, </w:t>
      </w:r>
      <w:r w:rsidRPr="0025648D">
        <w:rPr>
          <w:b/>
          <w:bCs/>
          <w:lang w:val="en-US"/>
        </w:rPr>
        <w:t>"On Additional Measures to Improve the Quality of Education in Higher Educational Institutions and Ensure Their Active Participation in the Comprehensive Reforms Being Implemented in the Country."</w:t>
      </w:r>
    </w:p>
    <w:p w:rsidR="0025648D" w:rsidRPr="0025648D" w:rsidRDefault="0025648D" w:rsidP="0025648D">
      <w:pPr>
        <w:spacing w:before="100" w:beforeAutospacing="1" w:after="100" w:afterAutospacing="1"/>
        <w:outlineLvl w:val="2"/>
        <w:divId w:val="859389628"/>
        <w:rPr>
          <w:b/>
          <w:bCs/>
          <w:sz w:val="27"/>
          <w:szCs w:val="27"/>
        </w:rPr>
      </w:pPr>
      <w:proofErr w:type="spellStart"/>
      <w:r w:rsidRPr="0025648D">
        <w:rPr>
          <w:b/>
          <w:bCs/>
          <w:sz w:val="27"/>
          <w:szCs w:val="27"/>
        </w:rPr>
        <w:t>Chapter</w:t>
      </w:r>
      <w:proofErr w:type="spellEnd"/>
      <w:r w:rsidRPr="0025648D">
        <w:rPr>
          <w:b/>
          <w:bCs/>
          <w:sz w:val="27"/>
          <w:szCs w:val="27"/>
        </w:rPr>
        <w:t xml:space="preserve"> 1. </w:t>
      </w:r>
      <w:proofErr w:type="spellStart"/>
      <w:r w:rsidRPr="0025648D">
        <w:rPr>
          <w:b/>
          <w:bCs/>
          <w:sz w:val="27"/>
          <w:szCs w:val="27"/>
        </w:rPr>
        <w:t>General</w:t>
      </w:r>
      <w:proofErr w:type="spellEnd"/>
      <w:r w:rsidRPr="0025648D">
        <w:rPr>
          <w:b/>
          <w:bCs/>
          <w:sz w:val="27"/>
          <w:szCs w:val="27"/>
        </w:rPr>
        <w:t xml:space="preserve"> </w:t>
      </w:r>
      <w:proofErr w:type="spellStart"/>
      <w:r w:rsidRPr="0025648D">
        <w:rPr>
          <w:b/>
          <w:bCs/>
          <w:sz w:val="27"/>
          <w:szCs w:val="27"/>
        </w:rPr>
        <w:t>Provisions</w:t>
      </w:r>
      <w:proofErr w:type="spellEnd"/>
    </w:p>
    <w:p w:rsidR="0025648D" w:rsidRPr="0025648D" w:rsidRDefault="0025648D" w:rsidP="0025648D">
      <w:pPr>
        <w:numPr>
          <w:ilvl w:val="0"/>
          <w:numId w:val="2"/>
        </w:numPr>
        <w:spacing w:before="100" w:beforeAutospacing="1" w:after="100" w:afterAutospacing="1"/>
        <w:divId w:val="859389628"/>
        <w:rPr>
          <w:lang w:val="en-US"/>
        </w:rPr>
      </w:pPr>
      <w:r w:rsidRPr="0025648D">
        <w:rPr>
          <w:lang w:val="en-US"/>
        </w:rPr>
        <w:t xml:space="preserve">These Regulations apply to the monitoring and assessment of students' knowledge in higher educational institutions for the </w:t>
      </w:r>
      <w:r w:rsidRPr="0025648D">
        <w:rPr>
          <w:b/>
          <w:bCs/>
          <w:lang w:val="en-US"/>
        </w:rPr>
        <w:t>2018-2019 academic year and subsequent academic years.</w:t>
      </w:r>
    </w:p>
    <w:p w:rsidR="0025648D" w:rsidRPr="0025648D" w:rsidRDefault="0025648D" w:rsidP="0025648D">
      <w:pPr>
        <w:numPr>
          <w:ilvl w:val="0"/>
          <w:numId w:val="2"/>
        </w:numPr>
        <w:spacing w:before="100" w:beforeAutospacing="1" w:after="100" w:afterAutospacing="1"/>
        <w:divId w:val="859389628"/>
        <w:rPr>
          <w:lang w:val="en-US"/>
        </w:rPr>
      </w:pPr>
      <w:r w:rsidRPr="0025648D">
        <w:rPr>
          <w:lang w:val="en-US"/>
        </w:rPr>
        <w:t xml:space="preserve">The requirements of these Regulations do not apply to higher educational institutions where the educational process is based on a </w:t>
      </w:r>
      <w:r w:rsidRPr="0025648D">
        <w:rPr>
          <w:b/>
          <w:bCs/>
          <w:lang w:val="en-US"/>
        </w:rPr>
        <w:t>modular system</w:t>
      </w:r>
      <w:r w:rsidRPr="0025648D">
        <w:rPr>
          <w:lang w:val="en-US"/>
        </w:rPr>
        <w:t xml:space="preserve"> in accordance with legislative acts.</w:t>
      </w:r>
    </w:p>
    <w:p w:rsidR="0025648D" w:rsidRPr="0025648D" w:rsidRDefault="0025648D" w:rsidP="0025648D">
      <w:pPr>
        <w:numPr>
          <w:ilvl w:val="0"/>
          <w:numId w:val="2"/>
        </w:numPr>
        <w:spacing w:before="100" w:beforeAutospacing="1" w:after="100" w:afterAutospacing="1"/>
        <w:divId w:val="859389628"/>
        <w:rPr>
          <w:lang w:val="en-US"/>
        </w:rPr>
      </w:pPr>
      <w:r w:rsidRPr="0025648D">
        <w:rPr>
          <w:lang w:val="en-US"/>
        </w:rPr>
        <w:t xml:space="preserve">Students must be introduced to the provisions of these Regulations by the </w:t>
      </w:r>
      <w:r w:rsidRPr="0025648D">
        <w:rPr>
          <w:b/>
          <w:bCs/>
          <w:lang w:val="en-US"/>
        </w:rPr>
        <w:t>professors and teaching staff</w:t>
      </w:r>
      <w:r w:rsidRPr="0025648D">
        <w:rPr>
          <w:lang w:val="en-US"/>
        </w:rPr>
        <w:t xml:space="preserve"> of higher educational institutions during the </w:t>
      </w:r>
      <w:r w:rsidRPr="0025648D">
        <w:rPr>
          <w:b/>
          <w:bCs/>
          <w:lang w:val="en-US"/>
        </w:rPr>
        <w:t>first class session.</w:t>
      </w:r>
    </w:p>
    <w:p w:rsidR="0025648D" w:rsidRPr="0025648D" w:rsidRDefault="0025648D" w:rsidP="0025648D">
      <w:pPr>
        <w:numPr>
          <w:ilvl w:val="0"/>
          <w:numId w:val="2"/>
        </w:numPr>
        <w:spacing w:before="100" w:beforeAutospacing="1" w:after="100" w:afterAutospacing="1"/>
        <w:divId w:val="859389628"/>
        <w:rPr>
          <w:lang w:val="en-US"/>
        </w:rPr>
      </w:pPr>
      <w:r w:rsidRPr="0025648D">
        <w:rPr>
          <w:lang w:val="en-US"/>
        </w:rPr>
        <w:t xml:space="preserve">The </w:t>
      </w:r>
      <w:r w:rsidRPr="0025648D">
        <w:rPr>
          <w:b/>
          <w:bCs/>
          <w:lang w:val="en-US"/>
        </w:rPr>
        <w:t>assessment criteria</w:t>
      </w:r>
      <w:r w:rsidRPr="0025648D">
        <w:rPr>
          <w:lang w:val="en-US"/>
        </w:rPr>
        <w:t xml:space="preserve"> outlined in these Regulations shall be applied in evaluating students' knowledge for </w:t>
      </w:r>
      <w:r w:rsidRPr="0025648D">
        <w:rPr>
          <w:b/>
          <w:bCs/>
          <w:lang w:val="en-US"/>
        </w:rPr>
        <w:t xml:space="preserve">practical training, coursework, subject (interdisciplinary) state </w:t>
      </w:r>
      <w:r w:rsidRPr="0025648D">
        <w:rPr>
          <w:b/>
          <w:bCs/>
          <w:lang w:val="en-US"/>
        </w:rPr>
        <w:lastRenderedPageBreak/>
        <w:t>certification, final qualification work, as well as research and pedagogical activities and master's dissertations at the postgraduate level.</w:t>
      </w:r>
    </w:p>
    <w:p w:rsidR="0025648D" w:rsidRPr="0025648D" w:rsidRDefault="0025648D" w:rsidP="0025648D">
      <w:pPr>
        <w:divId w:val="859389628"/>
        <w:rPr>
          <w:lang w:val="en-US"/>
        </w:rPr>
      </w:pPr>
      <w:r w:rsidRPr="0025648D">
        <w:rPr>
          <w:lang w:val="en-US"/>
        </w:rPr>
        <w:t>4o</w:t>
      </w:r>
    </w:p>
    <w:p w:rsidR="0025648D" w:rsidRPr="0025648D" w:rsidRDefault="0025648D" w:rsidP="0025648D">
      <w:pPr>
        <w:pStyle w:val="3"/>
        <w:divId w:val="531184906"/>
        <w:rPr>
          <w:lang w:val="en-US"/>
        </w:rPr>
      </w:pPr>
      <w:r w:rsidRPr="0025648D">
        <w:rPr>
          <w:lang w:val="en-US"/>
        </w:rPr>
        <w:t>Chapter 2. Types of Assessment and Evaluation Criteria</w:t>
      </w:r>
    </w:p>
    <w:p w:rsidR="0025648D" w:rsidRDefault="0025648D" w:rsidP="0025648D">
      <w:pPr>
        <w:pStyle w:val="4"/>
        <w:divId w:val="531184906"/>
      </w:pPr>
      <w:r>
        <w:t xml:space="preserve">§1. </w:t>
      </w:r>
      <w:proofErr w:type="spellStart"/>
      <w:r>
        <w:t>Types</w:t>
      </w:r>
      <w:proofErr w:type="spellEnd"/>
      <w:r>
        <w:t xml:space="preserve"> </w:t>
      </w:r>
      <w:proofErr w:type="spellStart"/>
      <w:r>
        <w:t>of</w:t>
      </w:r>
      <w:proofErr w:type="spellEnd"/>
      <w:r>
        <w:t xml:space="preserve"> </w:t>
      </w:r>
      <w:proofErr w:type="spellStart"/>
      <w:r>
        <w:t>Assessment</w:t>
      </w:r>
      <w:proofErr w:type="spellEnd"/>
    </w:p>
    <w:p w:rsidR="0025648D" w:rsidRPr="0025648D" w:rsidRDefault="0025648D" w:rsidP="00D807F5">
      <w:pPr>
        <w:pStyle w:val="a5"/>
        <w:numPr>
          <w:ilvl w:val="0"/>
          <w:numId w:val="3"/>
        </w:numPr>
        <w:jc w:val="both"/>
        <w:divId w:val="531184906"/>
        <w:rPr>
          <w:lang w:val="en-US"/>
        </w:rPr>
      </w:pPr>
      <w:r w:rsidRPr="0025648D">
        <w:rPr>
          <w:lang w:val="en-US"/>
        </w:rPr>
        <w:t>In higher education institutions, student knowledge is assessed through interim and final assessments.</w:t>
      </w:r>
    </w:p>
    <w:p w:rsidR="0025648D" w:rsidRPr="0025648D" w:rsidRDefault="0025648D" w:rsidP="00D807F5">
      <w:pPr>
        <w:pStyle w:val="a5"/>
        <w:numPr>
          <w:ilvl w:val="0"/>
          <w:numId w:val="3"/>
        </w:numPr>
        <w:jc w:val="both"/>
        <w:divId w:val="531184906"/>
        <w:rPr>
          <w:lang w:val="en-US"/>
        </w:rPr>
      </w:pPr>
      <w:r w:rsidRPr="0025648D">
        <w:rPr>
          <w:lang w:val="en-US"/>
        </w:rPr>
        <w:t>Interim assessments are conducted during the academic semester after completing a specific section of the curriculum. These assessments evaluate students' knowledge and practical skills through academic activities.</w:t>
      </w:r>
    </w:p>
    <w:p w:rsidR="0025648D" w:rsidRPr="0025648D" w:rsidRDefault="0025648D" w:rsidP="00D807F5">
      <w:pPr>
        <w:pStyle w:val="a5"/>
        <w:numPr>
          <w:ilvl w:val="0"/>
          <w:numId w:val="3"/>
        </w:numPr>
        <w:jc w:val="both"/>
        <w:divId w:val="531184906"/>
        <w:rPr>
          <w:lang w:val="en-US"/>
        </w:rPr>
      </w:pPr>
      <w:r w:rsidRPr="0025648D">
        <w:rPr>
          <w:lang w:val="en-US"/>
        </w:rPr>
        <w:t>An interim assessment may be conducted up to two times per subject, depending on the nature of the subject. The format and timing of the interim assessment are determined by the relevant department, considering the subject’s characteristics and allocated hours.</w:t>
      </w:r>
    </w:p>
    <w:p w:rsidR="0025648D" w:rsidRPr="0025648D" w:rsidRDefault="0025648D" w:rsidP="00D807F5">
      <w:pPr>
        <w:pStyle w:val="a5"/>
        <w:numPr>
          <w:ilvl w:val="0"/>
          <w:numId w:val="3"/>
        </w:numPr>
        <w:jc w:val="both"/>
        <w:divId w:val="531184906"/>
        <w:rPr>
          <w:lang w:val="en-US"/>
        </w:rPr>
      </w:pPr>
      <w:r w:rsidRPr="0025648D">
        <w:rPr>
          <w:lang w:val="en-US"/>
        </w:rPr>
        <w:t>The assignments for interim assessments are developed by faculty members of the relevant department and approved by the department head.</w:t>
      </w:r>
    </w:p>
    <w:p w:rsidR="0025648D" w:rsidRPr="0025648D" w:rsidRDefault="0025648D" w:rsidP="00D807F5">
      <w:pPr>
        <w:pStyle w:val="a5"/>
        <w:numPr>
          <w:ilvl w:val="0"/>
          <w:numId w:val="3"/>
        </w:numPr>
        <w:jc w:val="both"/>
        <w:divId w:val="531184906"/>
        <w:rPr>
          <w:lang w:val="en-US"/>
        </w:rPr>
      </w:pPr>
      <w:r w:rsidRPr="0025648D">
        <w:rPr>
          <w:lang w:val="en-US"/>
        </w:rPr>
        <w:t>Subjects with less than two academic hours per week (or four academic hours in medical universities) are exempt from interim assessments.</w:t>
      </w:r>
    </w:p>
    <w:p w:rsidR="0025648D" w:rsidRPr="0025648D" w:rsidRDefault="0025648D" w:rsidP="00D807F5">
      <w:pPr>
        <w:pStyle w:val="a5"/>
        <w:numPr>
          <w:ilvl w:val="0"/>
          <w:numId w:val="3"/>
        </w:numPr>
        <w:jc w:val="both"/>
        <w:divId w:val="531184906"/>
        <w:rPr>
          <w:lang w:val="en-US"/>
        </w:rPr>
      </w:pPr>
      <w:r w:rsidRPr="0025648D">
        <w:rPr>
          <w:lang w:val="en-US"/>
        </w:rPr>
        <w:t xml:space="preserve">The </w:t>
      </w:r>
      <w:proofErr w:type="gramStart"/>
      <w:r w:rsidRPr="0025648D">
        <w:rPr>
          <w:lang w:val="en-US"/>
        </w:rPr>
        <w:t>evaluation of students’ practical, seminar, laboratory sessions, and independent assignments, as well as their activity during these sessions, is carried out by the course instructor</w:t>
      </w:r>
      <w:proofErr w:type="gramEnd"/>
      <w:r w:rsidRPr="0025648D">
        <w:rPr>
          <w:lang w:val="en-US"/>
        </w:rPr>
        <w:t>. The evaluation is based on the criteria outlined in Clause 15 of this Regulation. The scores obtained during academic sessions are taken into account in interim assessments.</w:t>
      </w:r>
    </w:p>
    <w:p w:rsidR="0025648D" w:rsidRPr="0025648D" w:rsidRDefault="0025648D" w:rsidP="00D807F5">
      <w:pPr>
        <w:pStyle w:val="a5"/>
        <w:numPr>
          <w:ilvl w:val="0"/>
          <w:numId w:val="3"/>
        </w:numPr>
        <w:jc w:val="both"/>
        <w:divId w:val="531184906"/>
        <w:rPr>
          <w:lang w:val="en-US"/>
        </w:rPr>
      </w:pPr>
      <w:r w:rsidRPr="0025648D">
        <w:rPr>
          <w:lang w:val="en-US"/>
        </w:rPr>
        <w:t>Final assessments are conducted at the end of the semester (or at the end of the subject in medical universities) to determine the students’ mastery of theoretical knowledge and practical skills.</w:t>
      </w:r>
    </w:p>
    <w:p w:rsidR="0025648D" w:rsidRPr="0025648D" w:rsidRDefault="0025648D" w:rsidP="00D807F5">
      <w:pPr>
        <w:pStyle w:val="a5"/>
        <w:numPr>
          <w:ilvl w:val="0"/>
          <w:numId w:val="3"/>
        </w:numPr>
        <w:jc w:val="both"/>
        <w:divId w:val="531184906"/>
        <w:rPr>
          <w:lang w:val="en-US"/>
        </w:rPr>
      </w:pPr>
      <w:r w:rsidRPr="0025648D">
        <w:rPr>
          <w:lang w:val="en-US"/>
        </w:rPr>
        <w:t>The format of the final assessment is determined by the relevant department.</w:t>
      </w:r>
    </w:p>
    <w:p w:rsidR="0025648D" w:rsidRPr="0025648D" w:rsidRDefault="0025648D" w:rsidP="00D807F5">
      <w:pPr>
        <w:pStyle w:val="a5"/>
        <w:numPr>
          <w:ilvl w:val="0"/>
          <w:numId w:val="3"/>
        </w:numPr>
        <w:jc w:val="both"/>
        <w:divId w:val="531184906"/>
        <w:rPr>
          <w:lang w:val="en-US"/>
        </w:rPr>
      </w:pPr>
      <w:r w:rsidRPr="0025648D">
        <w:rPr>
          <w:lang w:val="en-US"/>
        </w:rPr>
        <w:t xml:space="preserve">Final assessments are conducted according to the schedule developed by the faculty dean </w:t>
      </w:r>
      <w:proofErr w:type="spellStart"/>
      <w:r w:rsidRPr="0025648D">
        <w:rPr>
          <w:lang w:val="en-US"/>
        </w:rPr>
        <w:t>or</w:t>
      </w:r>
      <w:proofErr w:type="spellEnd"/>
      <w:r w:rsidRPr="0025648D">
        <w:rPr>
          <w:lang w:val="en-US"/>
        </w:rPr>
        <w:t xml:space="preserve"> academic affairs department and approved by the vice-rector for academic affairs.</w:t>
      </w:r>
    </w:p>
    <w:p w:rsidR="0025648D" w:rsidRPr="0025648D" w:rsidRDefault="0025648D" w:rsidP="0025648D">
      <w:pPr>
        <w:pStyle w:val="a5"/>
        <w:numPr>
          <w:ilvl w:val="0"/>
          <w:numId w:val="3"/>
        </w:numPr>
        <w:divId w:val="531184906"/>
        <w:rPr>
          <w:lang w:val="en-US"/>
        </w:rPr>
      </w:pPr>
      <w:r w:rsidRPr="0025648D">
        <w:rPr>
          <w:lang w:val="en-US"/>
        </w:rPr>
        <w:t>In medical universities, both interim and final assessments may take the form of an Objective Structured Clinical Examination (OSCE) or an Objective Structured Exam.</w:t>
      </w:r>
    </w:p>
    <w:p w:rsidR="0025648D" w:rsidRDefault="0025648D" w:rsidP="0025648D">
      <w:pPr>
        <w:pStyle w:val="4"/>
        <w:divId w:val="531184906"/>
      </w:pPr>
      <w:r>
        <w:t xml:space="preserve">§2. </w:t>
      </w:r>
      <w:proofErr w:type="spellStart"/>
      <w:r w:rsidR="004B359F">
        <w:t>Evaluation</w:t>
      </w:r>
      <w:proofErr w:type="spellEnd"/>
      <w:r w:rsidR="004B359F">
        <w:t xml:space="preserve"> </w:t>
      </w:r>
      <w:proofErr w:type="spellStart"/>
      <w:r w:rsidR="004B359F">
        <w:t>Criteria</w:t>
      </w:r>
      <w:proofErr w:type="spellEnd"/>
      <w:r w:rsidR="004B359F">
        <w:t xml:space="preserve"> </w:t>
      </w:r>
      <w:r w:rsidR="004B359F">
        <w:rPr>
          <w:lang w:val="en-US"/>
        </w:rPr>
        <w:t xml:space="preserve">of </w:t>
      </w:r>
      <w:proofErr w:type="spellStart"/>
      <w:r>
        <w:t>Student</w:t>
      </w:r>
      <w:proofErr w:type="spellEnd"/>
      <w:r w:rsidR="004B359F">
        <w:rPr>
          <w:lang w:val="en-US"/>
        </w:rPr>
        <w:t>s</w:t>
      </w:r>
      <w:bookmarkStart w:id="0" w:name="_GoBack"/>
      <w:bookmarkEnd w:id="0"/>
      <w:r>
        <w:t xml:space="preserve"> </w:t>
      </w:r>
      <w:proofErr w:type="spellStart"/>
      <w:r>
        <w:t>Knowledge</w:t>
      </w:r>
      <w:proofErr w:type="spellEnd"/>
      <w:r>
        <w:t xml:space="preserve"> </w:t>
      </w:r>
    </w:p>
    <w:p w:rsidR="0025648D" w:rsidRPr="0025648D" w:rsidRDefault="0025648D" w:rsidP="0025648D">
      <w:pPr>
        <w:numPr>
          <w:ilvl w:val="0"/>
          <w:numId w:val="4"/>
        </w:numPr>
        <w:spacing w:before="100" w:beforeAutospacing="1" w:after="100" w:afterAutospacing="1"/>
        <w:divId w:val="531184906"/>
        <w:rPr>
          <w:lang w:val="en-US"/>
        </w:rPr>
      </w:pPr>
      <w:r w:rsidRPr="0025648D">
        <w:rPr>
          <w:lang w:val="en-US"/>
        </w:rPr>
        <w:t>Students’ knowledge is evaluated based on the following criteria:</w:t>
      </w:r>
    </w:p>
    <w:p w:rsidR="0025648D" w:rsidRPr="0025648D" w:rsidRDefault="0025648D" w:rsidP="0025648D">
      <w:pPr>
        <w:numPr>
          <w:ilvl w:val="0"/>
          <w:numId w:val="5"/>
        </w:numPr>
        <w:spacing w:before="100" w:beforeAutospacing="1" w:after="100" w:afterAutospacing="1"/>
        <w:divId w:val="531184906"/>
        <w:rPr>
          <w:lang w:val="en-US"/>
        </w:rPr>
      </w:pPr>
      <w:r w:rsidRPr="0025648D">
        <w:rPr>
          <w:lang w:val="en-US"/>
        </w:rPr>
        <w:t xml:space="preserve">A grade of </w:t>
      </w:r>
      <w:r w:rsidRPr="0025648D">
        <w:rPr>
          <w:rStyle w:val="a6"/>
          <w:lang w:val="en-US"/>
        </w:rPr>
        <w:t>5 (Excellent)</w:t>
      </w:r>
      <w:r w:rsidRPr="0025648D">
        <w:rPr>
          <w:lang w:val="en-US"/>
        </w:rPr>
        <w:t xml:space="preserve"> is awarded if the student can independently draw conclusions and make decisions, think creatively, reason independently, apply knowledge in practice, understand and articulate the essence of the subject, and demonstrate comprehension.</w:t>
      </w:r>
    </w:p>
    <w:p w:rsidR="0025648D" w:rsidRPr="0025648D" w:rsidRDefault="0025648D" w:rsidP="0025648D">
      <w:pPr>
        <w:numPr>
          <w:ilvl w:val="0"/>
          <w:numId w:val="5"/>
        </w:numPr>
        <w:spacing w:before="100" w:beforeAutospacing="1" w:after="100" w:afterAutospacing="1"/>
        <w:divId w:val="531184906"/>
        <w:rPr>
          <w:lang w:val="en-US"/>
        </w:rPr>
      </w:pPr>
      <w:r w:rsidRPr="0025648D">
        <w:rPr>
          <w:lang w:val="en-US"/>
        </w:rPr>
        <w:t xml:space="preserve">A grade of </w:t>
      </w:r>
      <w:r w:rsidRPr="0025648D">
        <w:rPr>
          <w:rStyle w:val="a6"/>
          <w:lang w:val="en-US"/>
        </w:rPr>
        <w:t>4 (Good)</w:t>
      </w:r>
      <w:r w:rsidRPr="0025648D">
        <w:rPr>
          <w:lang w:val="en-US"/>
        </w:rPr>
        <w:t xml:space="preserve"> is awarded if the student can reason independently, apply knowledge in practice, understand and articulate the subject, and demonstrate comprehension.</w:t>
      </w:r>
    </w:p>
    <w:p w:rsidR="0025648D" w:rsidRPr="0025648D" w:rsidRDefault="0025648D" w:rsidP="0025648D">
      <w:pPr>
        <w:numPr>
          <w:ilvl w:val="0"/>
          <w:numId w:val="5"/>
        </w:numPr>
        <w:spacing w:before="100" w:beforeAutospacing="1" w:after="100" w:afterAutospacing="1"/>
        <w:divId w:val="531184906"/>
        <w:rPr>
          <w:lang w:val="en-US"/>
        </w:rPr>
      </w:pPr>
      <w:r w:rsidRPr="0025648D">
        <w:rPr>
          <w:lang w:val="en-US"/>
        </w:rPr>
        <w:t xml:space="preserve">A grade of </w:t>
      </w:r>
      <w:r w:rsidRPr="0025648D">
        <w:rPr>
          <w:rStyle w:val="a6"/>
          <w:lang w:val="en-US"/>
        </w:rPr>
        <w:t>3 (Satisfactory)</w:t>
      </w:r>
      <w:r w:rsidRPr="0025648D">
        <w:rPr>
          <w:lang w:val="en-US"/>
        </w:rPr>
        <w:t xml:space="preserve"> is awarded if the student can apply knowledge in practice, understand and articulate the subject, and demonstrate comprehension.</w:t>
      </w:r>
    </w:p>
    <w:p w:rsidR="0025648D" w:rsidRPr="0025648D" w:rsidRDefault="0025648D" w:rsidP="0025648D">
      <w:pPr>
        <w:numPr>
          <w:ilvl w:val="0"/>
          <w:numId w:val="5"/>
        </w:numPr>
        <w:spacing w:before="100" w:beforeAutospacing="1" w:after="100" w:afterAutospacing="1"/>
        <w:divId w:val="531184906"/>
        <w:rPr>
          <w:lang w:val="en-US"/>
        </w:rPr>
      </w:pPr>
      <w:r w:rsidRPr="0025648D">
        <w:rPr>
          <w:lang w:val="en-US"/>
        </w:rPr>
        <w:t xml:space="preserve">A grade of </w:t>
      </w:r>
      <w:r w:rsidRPr="0025648D">
        <w:rPr>
          <w:rStyle w:val="a6"/>
          <w:lang w:val="en-US"/>
        </w:rPr>
        <w:t>2 (Unsatisfactory)</w:t>
      </w:r>
      <w:r w:rsidRPr="0025648D">
        <w:rPr>
          <w:lang w:val="en-US"/>
        </w:rPr>
        <w:t xml:space="preserve"> is given if the student has not mastered the subject, does not understand its essence, and cannot demonstrate comprehension.</w:t>
      </w:r>
    </w:p>
    <w:p w:rsidR="0025648D" w:rsidRPr="0025648D" w:rsidRDefault="0025648D" w:rsidP="0025648D">
      <w:pPr>
        <w:numPr>
          <w:ilvl w:val="0"/>
          <w:numId w:val="6"/>
        </w:numPr>
        <w:spacing w:before="100" w:beforeAutospacing="1" w:after="100" w:afterAutospacing="1"/>
        <w:divId w:val="531184906"/>
        <w:rPr>
          <w:lang w:val="en-US"/>
        </w:rPr>
      </w:pPr>
      <w:r w:rsidRPr="0025648D">
        <w:rPr>
          <w:lang w:val="en-US"/>
        </w:rPr>
        <w:t>The content of assessment assignments must ensure an objective and accurate evaluation of students’ knowledge.</w:t>
      </w:r>
    </w:p>
    <w:p w:rsidR="0025648D" w:rsidRDefault="004B359F" w:rsidP="0025648D">
      <w:pPr>
        <w:divId w:val="531184906"/>
      </w:pPr>
      <w:r>
        <w:pict>
          <v:rect id="_x0000_i1025" style="width:0;height:1.5pt" o:hralign="center" o:hrstd="t" o:hr="t" fillcolor="#a0a0a0" stroked="f"/>
        </w:pict>
      </w:r>
    </w:p>
    <w:p w:rsidR="0025648D" w:rsidRDefault="0025648D" w:rsidP="0025648D">
      <w:pPr>
        <w:pStyle w:val="3"/>
        <w:divId w:val="531184906"/>
      </w:pPr>
      <w:proofErr w:type="spellStart"/>
      <w:r>
        <w:lastRenderedPageBreak/>
        <w:t>Chapter</w:t>
      </w:r>
      <w:proofErr w:type="spellEnd"/>
      <w:r>
        <w:t xml:space="preserve"> 3. </w:t>
      </w:r>
      <w:proofErr w:type="spellStart"/>
      <w:r>
        <w:t>Student</w:t>
      </w:r>
      <w:proofErr w:type="spellEnd"/>
      <w:r>
        <w:t xml:space="preserve"> </w:t>
      </w:r>
      <w:proofErr w:type="spellStart"/>
      <w:r>
        <w:t>Knowledge</w:t>
      </w:r>
      <w:proofErr w:type="spellEnd"/>
      <w:r>
        <w:t xml:space="preserve"> </w:t>
      </w:r>
      <w:proofErr w:type="spellStart"/>
      <w:r>
        <w:t>Assessment</w:t>
      </w:r>
      <w:proofErr w:type="spellEnd"/>
    </w:p>
    <w:p w:rsidR="0025648D" w:rsidRPr="0025648D" w:rsidRDefault="0025648D" w:rsidP="0025648D">
      <w:pPr>
        <w:pStyle w:val="a5"/>
        <w:numPr>
          <w:ilvl w:val="0"/>
          <w:numId w:val="7"/>
        </w:numPr>
        <w:divId w:val="531184906"/>
        <w:rPr>
          <w:lang w:val="en-US"/>
        </w:rPr>
      </w:pPr>
      <w:r w:rsidRPr="0025648D">
        <w:rPr>
          <w:lang w:val="en-US"/>
        </w:rPr>
        <w:t>Student knowledge is assessed using a five-point grading system.</w:t>
      </w:r>
    </w:p>
    <w:p w:rsidR="0025648D" w:rsidRPr="0025648D" w:rsidRDefault="0025648D" w:rsidP="0025648D">
      <w:pPr>
        <w:pStyle w:val="a5"/>
        <w:numPr>
          <w:ilvl w:val="0"/>
          <w:numId w:val="7"/>
        </w:numPr>
        <w:divId w:val="531184906"/>
        <w:rPr>
          <w:lang w:val="en-US"/>
        </w:rPr>
      </w:pPr>
      <w:r w:rsidRPr="0025648D">
        <w:rPr>
          <w:lang w:val="en-US"/>
        </w:rPr>
        <w:t>Interim assessments are conducted and evaluated by the course instructor.</w:t>
      </w:r>
      <w:r w:rsidRPr="0025648D">
        <w:rPr>
          <w:lang w:val="en-US"/>
        </w:rPr>
        <w:br/>
        <w:t>Final assessments are conducted and evaluated by a faculty member who did not teach the course. The course instructor is prohibited from participating in the final assessment.</w:t>
      </w:r>
      <w:r w:rsidRPr="0025648D">
        <w:rPr>
          <w:lang w:val="en-US"/>
        </w:rPr>
        <w:br/>
        <w:t>Faculty from other higher education institutions may be involved in final assessments under a mutual agreement.</w:t>
      </w:r>
    </w:p>
    <w:p w:rsidR="0025648D" w:rsidRPr="0025648D" w:rsidRDefault="0025648D" w:rsidP="0025648D">
      <w:pPr>
        <w:pStyle w:val="a5"/>
        <w:numPr>
          <w:ilvl w:val="0"/>
          <w:numId w:val="7"/>
        </w:numPr>
        <w:divId w:val="531184906"/>
        <w:rPr>
          <w:lang w:val="en-US"/>
        </w:rPr>
      </w:pPr>
      <w:r w:rsidRPr="0025648D">
        <w:rPr>
          <w:lang w:val="en-US"/>
        </w:rPr>
        <w:t>In medical universities, assessments are conducted by a committee organized by the head of the relevant department. The committee consists of faculty members and subject specialists, including external experts when necessary.</w:t>
      </w:r>
    </w:p>
    <w:p w:rsidR="0025648D" w:rsidRPr="0025648D" w:rsidRDefault="0025648D" w:rsidP="0025648D">
      <w:pPr>
        <w:pStyle w:val="a5"/>
        <w:numPr>
          <w:ilvl w:val="0"/>
          <w:numId w:val="7"/>
        </w:numPr>
        <w:divId w:val="531184906"/>
        <w:rPr>
          <w:lang w:val="en-US"/>
        </w:rPr>
      </w:pPr>
      <w:r w:rsidRPr="0025648D">
        <w:rPr>
          <w:lang w:val="en-US"/>
        </w:rPr>
        <w:t>The quality control department of the university continuously monitors the assessment process. If irregularities are found, the assessment results may be annulled and reassessed.</w:t>
      </w:r>
    </w:p>
    <w:p w:rsidR="0025648D" w:rsidRPr="0025648D" w:rsidRDefault="0025648D" w:rsidP="0025648D">
      <w:pPr>
        <w:pStyle w:val="a5"/>
        <w:numPr>
          <w:ilvl w:val="0"/>
          <w:numId w:val="7"/>
        </w:numPr>
        <w:divId w:val="531184906"/>
        <w:rPr>
          <w:lang w:val="en-US"/>
        </w:rPr>
      </w:pPr>
      <w:r w:rsidRPr="0025648D">
        <w:rPr>
          <w:lang w:val="en-US"/>
        </w:rPr>
        <w:t>Students must complete interim assessments before the final assessment.</w:t>
      </w:r>
    </w:p>
    <w:p w:rsidR="0025648D" w:rsidRPr="0025648D" w:rsidRDefault="0025648D" w:rsidP="0025648D">
      <w:pPr>
        <w:pStyle w:val="a5"/>
        <w:numPr>
          <w:ilvl w:val="0"/>
          <w:numId w:val="7"/>
        </w:numPr>
        <w:divId w:val="531184906"/>
        <w:rPr>
          <w:lang w:val="en-US"/>
        </w:rPr>
      </w:pPr>
      <w:r w:rsidRPr="0025648D">
        <w:rPr>
          <w:lang w:val="en-US"/>
        </w:rPr>
        <w:t>Students who fail or do not complete the interim assessment are not permitted to take the final assessment.</w:t>
      </w:r>
      <w:r w:rsidRPr="0025648D">
        <w:rPr>
          <w:lang w:val="en-US"/>
        </w:rPr>
        <w:br/>
        <w:t>Students who do not take or fail the final assessment are considered academically deficient.</w:t>
      </w:r>
    </w:p>
    <w:p w:rsidR="0025648D" w:rsidRPr="0025648D" w:rsidRDefault="0025648D" w:rsidP="0025648D">
      <w:pPr>
        <w:pStyle w:val="a5"/>
        <w:numPr>
          <w:ilvl w:val="0"/>
          <w:numId w:val="7"/>
        </w:numPr>
        <w:divId w:val="531184906"/>
        <w:rPr>
          <w:lang w:val="en-US"/>
        </w:rPr>
      </w:pPr>
      <w:r w:rsidRPr="0025648D">
        <w:rPr>
          <w:lang w:val="en-US"/>
        </w:rPr>
        <w:t>Students with valid reasons for missing assessments may be granted permission to retake them upon the dean’s order.</w:t>
      </w:r>
    </w:p>
    <w:p w:rsidR="0025648D" w:rsidRPr="0025648D" w:rsidRDefault="0025648D" w:rsidP="0025648D">
      <w:pPr>
        <w:pStyle w:val="a5"/>
        <w:numPr>
          <w:ilvl w:val="0"/>
          <w:numId w:val="7"/>
        </w:numPr>
        <w:divId w:val="531184906"/>
        <w:rPr>
          <w:lang w:val="en-US"/>
        </w:rPr>
      </w:pPr>
      <w:r w:rsidRPr="0025648D">
        <w:rPr>
          <w:lang w:val="en-US"/>
        </w:rPr>
        <w:t>Only one final assessment per day is allowed. Final assessments must be scheduled at least two days apart.</w:t>
      </w:r>
    </w:p>
    <w:p w:rsidR="0025648D" w:rsidRPr="0025648D" w:rsidRDefault="0025648D" w:rsidP="0025648D">
      <w:pPr>
        <w:pStyle w:val="a5"/>
        <w:numPr>
          <w:ilvl w:val="0"/>
          <w:numId w:val="7"/>
        </w:numPr>
        <w:divId w:val="531184906"/>
        <w:rPr>
          <w:lang w:val="en-US"/>
        </w:rPr>
      </w:pPr>
      <w:r w:rsidRPr="0025648D">
        <w:rPr>
          <w:lang w:val="en-US"/>
        </w:rPr>
        <w:t>Non-graduating students who have failed up to three subjects in the fall semester are given up to one month to retake them. Those with up to three failed subjects in the spring semester have until the start of the new academic year to retake them.</w:t>
      </w:r>
      <w:r w:rsidRPr="0025648D">
        <w:rPr>
          <w:lang w:val="en-US"/>
        </w:rPr>
        <w:br/>
        <w:t>Graduating students must complete all failed subjects before the final state attestation.</w:t>
      </w:r>
      <w:r w:rsidRPr="0025648D">
        <w:rPr>
          <w:lang w:val="en-US"/>
        </w:rPr>
        <w:br/>
        <w:t>Students failing four or more subjects are not allowed to retake them and are expelled from the university.</w:t>
      </w:r>
    </w:p>
    <w:p w:rsidR="0025648D" w:rsidRPr="0025648D" w:rsidRDefault="0025648D" w:rsidP="0025648D">
      <w:pPr>
        <w:pStyle w:val="a5"/>
        <w:numPr>
          <w:ilvl w:val="0"/>
          <w:numId w:val="7"/>
        </w:numPr>
        <w:divId w:val="531184906"/>
        <w:rPr>
          <w:lang w:val="en-US"/>
        </w:rPr>
      </w:pPr>
      <w:r w:rsidRPr="0025648D">
        <w:rPr>
          <w:lang w:val="en-US"/>
        </w:rPr>
        <w:t>Students may retake an assessment a maximum of two times within the given period. If they fail the first retake, a faculty committee evaluates them. The committee consists of faculty members and industry experts. The second retake and evaluation are conducted by this committee.</w:t>
      </w:r>
    </w:p>
    <w:p w:rsidR="0025648D" w:rsidRPr="0025648D" w:rsidRDefault="0025648D" w:rsidP="0025648D">
      <w:pPr>
        <w:pStyle w:val="a5"/>
        <w:numPr>
          <w:ilvl w:val="0"/>
          <w:numId w:val="7"/>
        </w:numPr>
        <w:divId w:val="531184906"/>
        <w:rPr>
          <w:lang w:val="en-US"/>
        </w:rPr>
      </w:pPr>
      <w:r w:rsidRPr="0025648D">
        <w:rPr>
          <w:lang w:val="en-US"/>
        </w:rPr>
        <w:t>If a student fails to clear academic deficiencies within the given timeframe, the faculty dean informs the university administration, and the student is expelled by rector’s order.</w:t>
      </w:r>
    </w:p>
    <w:p w:rsidR="0025648D" w:rsidRPr="0025648D" w:rsidRDefault="0025648D" w:rsidP="0025648D">
      <w:pPr>
        <w:pStyle w:val="a5"/>
        <w:numPr>
          <w:ilvl w:val="0"/>
          <w:numId w:val="7"/>
        </w:numPr>
        <w:divId w:val="531184906"/>
        <w:rPr>
          <w:lang w:val="en-US"/>
        </w:rPr>
      </w:pPr>
      <w:r w:rsidRPr="0025648D">
        <w:rPr>
          <w:lang w:val="en-US"/>
        </w:rPr>
        <w:t>Students who fail or do not participate in practical training without a valid reason are considered academically deficient and are expelled.</w:t>
      </w:r>
    </w:p>
    <w:p w:rsidR="0025648D" w:rsidRPr="0025648D" w:rsidRDefault="0025648D" w:rsidP="0025648D">
      <w:pPr>
        <w:pStyle w:val="a5"/>
        <w:numPr>
          <w:ilvl w:val="0"/>
          <w:numId w:val="7"/>
        </w:numPr>
        <w:divId w:val="531184906"/>
        <w:rPr>
          <w:lang w:val="en-US"/>
        </w:rPr>
      </w:pPr>
      <w:r w:rsidRPr="0025648D">
        <w:rPr>
          <w:lang w:val="en-US"/>
        </w:rPr>
        <w:t>Expelled students may continue their education by retaking failed subjects on a tuition basis according to the approved curriculum.</w:t>
      </w:r>
    </w:p>
    <w:p w:rsidR="0025648D" w:rsidRPr="0025648D" w:rsidRDefault="0025648D" w:rsidP="0025648D">
      <w:pPr>
        <w:pStyle w:val="a5"/>
        <w:numPr>
          <w:ilvl w:val="0"/>
          <w:numId w:val="7"/>
        </w:numPr>
        <w:divId w:val="531184906"/>
        <w:rPr>
          <w:lang w:val="en-US"/>
        </w:rPr>
      </w:pPr>
      <w:r w:rsidRPr="0025648D">
        <w:rPr>
          <w:lang w:val="en-US"/>
        </w:rPr>
        <w:t>Students dissatisfied with their grades can appeal to the Appeals Committee formed by the faculty dean.</w:t>
      </w:r>
    </w:p>
    <w:p w:rsidR="0025648D" w:rsidRPr="0025648D" w:rsidRDefault="0025648D" w:rsidP="0025648D">
      <w:pPr>
        <w:pStyle w:val="a5"/>
        <w:numPr>
          <w:ilvl w:val="0"/>
          <w:numId w:val="7"/>
        </w:numPr>
        <w:divId w:val="531184906"/>
        <w:rPr>
          <w:lang w:val="en-US"/>
        </w:rPr>
      </w:pPr>
      <w:r w:rsidRPr="0025648D">
        <w:rPr>
          <w:lang w:val="en-US"/>
        </w:rPr>
        <w:t>The Appeals Committee consists of faculty members who did not participate in the student’s assessment, with a chairperson and at least four members.</w:t>
      </w:r>
    </w:p>
    <w:p w:rsidR="0025648D" w:rsidRPr="0025648D" w:rsidRDefault="0025648D" w:rsidP="0025648D">
      <w:pPr>
        <w:pStyle w:val="a5"/>
        <w:numPr>
          <w:ilvl w:val="0"/>
          <w:numId w:val="7"/>
        </w:numPr>
        <w:divId w:val="531184906"/>
        <w:rPr>
          <w:lang w:val="en-US"/>
        </w:rPr>
      </w:pPr>
      <w:r w:rsidRPr="0025648D">
        <w:rPr>
          <w:lang w:val="en-US"/>
        </w:rPr>
        <w:t>Students must submit an appeal within 24 hours of the grade announcement. The Appeals Committee must review the appeal within two days.</w:t>
      </w:r>
    </w:p>
    <w:p w:rsidR="0025648D" w:rsidRPr="0025648D" w:rsidRDefault="0025648D" w:rsidP="0025648D">
      <w:pPr>
        <w:pStyle w:val="a5"/>
        <w:numPr>
          <w:ilvl w:val="0"/>
          <w:numId w:val="7"/>
        </w:numPr>
        <w:divId w:val="531184906"/>
        <w:rPr>
          <w:lang w:val="en-US"/>
        </w:rPr>
      </w:pPr>
      <w:r w:rsidRPr="0025648D">
        <w:rPr>
          <w:lang w:val="en-US"/>
        </w:rPr>
        <w:t>The student has the right to participate in the appeal review.</w:t>
      </w:r>
    </w:p>
    <w:p w:rsidR="0025648D" w:rsidRPr="0025648D" w:rsidRDefault="0025648D" w:rsidP="0025648D">
      <w:pPr>
        <w:pStyle w:val="a5"/>
        <w:numPr>
          <w:ilvl w:val="0"/>
          <w:numId w:val="7"/>
        </w:numPr>
        <w:divId w:val="531184906"/>
        <w:rPr>
          <w:lang w:val="en-US"/>
        </w:rPr>
      </w:pPr>
      <w:r w:rsidRPr="0025648D">
        <w:rPr>
          <w:lang w:val="en-US"/>
        </w:rPr>
        <w:t>The Appeals Committee evaluates the case and determines whether the student has mastered the subject. The decision is communicated to the faculty dean and the student.</w:t>
      </w:r>
    </w:p>
    <w:p w:rsidR="0025648D" w:rsidRDefault="004B359F" w:rsidP="0025648D">
      <w:pPr>
        <w:divId w:val="531184906"/>
      </w:pPr>
      <w:r>
        <w:pict>
          <v:rect id="_x0000_i1026" style="width:0;height:1.5pt" o:hralign="center" o:hrstd="t" o:hr="t" fillcolor="#a0a0a0" stroked="f"/>
        </w:pict>
      </w:r>
    </w:p>
    <w:p w:rsidR="0025648D" w:rsidRDefault="0025648D" w:rsidP="0025648D">
      <w:pPr>
        <w:pStyle w:val="3"/>
        <w:divId w:val="531184906"/>
        <w:rPr>
          <w:lang w:val="en-US"/>
        </w:rPr>
      </w:pPr>
    </w:p>
    <w:p w:rsidR="0025648D" w:rsidRDefault="0025648D" w:rsidP="0025648D">
      <w:pPr>
        <w:pStyle w:val="3"/>
        <w:divId w:val="531184906"/>
        <w:rPr>
          <w:lang w:val="en-US"/>
        </w:rPr>
      </w:pPr>
    </w:p>
    <w:p w:rsidR="0025648D" w:rsidRDefault="0025648D" w:rsidP="0025648D">
      <w:pPr>
        <w:pStyle w:val="3"/>
        <w:divId w:val="531184906"/>
      </w:pPr>
      <w:proofErr w:type="spellStart"/>
      <w:r>
        <w:lastRenderedPageBreak/>
        <w:t>Chapter</w:t>
      </w:r>
      <w:proofErr w:type="spellEnd"/>
      <w:r>
        <w:t xml:space="preserve"> 4. </w:t>
      </w:r>
      <w:proofErr w:type="spellStart"/>
      <w:r>
        <w:t>Recording</w:t>
      </w:r>
      <w:proofErr w:type="spellEnd"/>
      <w:r>
        <w:t xml:space="preserve"> </w:t>
      </w:r>
      <w:proofErr w:type="spellStart"/>
      <w:r>
        <w:t>Assessment</w:t>
      </w:r>
      <w:proofErr w:type="spellEnd"/>
      <w:r>
        <w:t xml:space="preserve"> </w:t>
      </w:r>
      <w:proofErr w:type="spellStart"/>
      <w:r>
        <w:t>Results</w:t>
      </w:r>
      <w:proofErr w:type="spellEnd"/>
    </w:p>
    <w:p w:rsidR="0025648D" w:rsidRPr="0025648D" w:rsidRDefault="0025648D" w:rsidP="0025648D">
      <w:pPr>
        <w:pStyle w:val="a5"/>
        <w:numPr>
          <w:ilvl w:val="0"/>
          <w:numId w:val="8"/>
        </w:numPr>
        <w:divId w:val="531184906"/>
        <w:rPr>
          <w:lang w:val="en-US"/>
        </w:rPr>
      </w:pPr>
      <w:r w:rsidRPr="0025648D">
        <w:rPr>
          <w:lang w:val="en-US"/>
        </w:rPr>
        <w:t>Assessment results are recorded by the course instructor in the Student Performance Journal (hereafter referred to as "Journal"). Results may also be recorded in an electronic system.</w:t>
      </w:r>
      <w:r w:rsidRPr="0025648D">
        <w:rPr>
          <w:lang w:val="en-US"/>
        </w:rPr>
        <w:br/>
        <w:t>The instructor must enter grades on the same day. If an assessment is conducted in written form, results must be recorded within three days.</w:t>
      </w:r>
    </w:p>
    <w:p w:rsidR="0025648D" w:rsidRPr="0025648D" w:rsidRDefault="0025648D" w:rsidP="0025648D">
      <w:pPr>
        <w:pStyle w:val="a5"/>
        <w:numPr>
          <w:ilvl w:val="0"/>
          <w:numId w:val="8"/>
        </w:numPr>
        <w:divId w:val="531184906"/>
        <w:rPr>
          <w:lang w:val="en-US"/>
        </w:rPr>
      </w:pPr>
      <w:r w:rsidRPr="0025648D">
        <w:rPr>
          <w:lang w:val="en-US"/>
        </w:rPr>
        <w:t xml:space="preserve">If a student receives a grade of </w:t>
      </w:r>
      <w:r w:rsidRPr="0025648D">
        <w:rPr>
          <w:rStyle w:val="a6"/>
          <w:lang w:val="en-US"/>
        </w:rPr>
        <w:t>3 (Satisfactory)</w:t>
      </w:r>
      <w:r w:rsidRPr="0025648D">
        <w:rPr>
          <w:lang w:val="en-US"/>
        </w:rPr>
        <w:t xml:space="preserve">, </w:t>
      </w:r>
      <w:r w:rsidRPr="0025648D">
        <w:rPr>
          <w:rStyle w:val="a6"/>
          <w:lang w:val="en-US"/>
        </w:rPr>
        <w:t>4 (Good)</w:t>
      </w:r>
      <w:r w:rsidRPr="0025648D">
        <w:rPr>
          <w:lang w:val="en-US"/>
        </w:rPr>
        <w:t xml:space="preserve">, or </w:t>
      </w:r>
      <w:r w:rsidRPr="0025648D">
        <w:rPr>
          <w:rStyle w:val="a6"/>
          <w:lang w:val="en-US"/>
        </w:rPr>
        <w:t>5 (Excellent)</w:t>
      </w:r>
      <w:r w:rsidRPr="0025648D">
        <w:rPr>
          <w:lang w:val="en-US"/>
        </w:rPr>
        <w:t>, they cannot retake the assessment.</w:t>
      </w:r>
    </w:p>
    <w:p w:rsidR="0025648D" w:rsidRPr="0025648D" w:rsidRDefault="0025648D" w:rsidP="0025648D">
      <w:pPr>
        <w:pStyle w:val="a5"/>
        <w:numPr>
          <w:ilvl w:val="0"/>
          <w:numId w:val="8"/>
        </w:numPr>
        <w:divId w:val="531184906"/>
        <w:rPr>
          <w:lang w:val="en-US"/>
        </w:rPr>
      </w:pPr>
      <w:r w:rsidRPr="0025648D">
        <w:rPr>
          <w:lang w:val="en-US"/>
        </w:rPr>
        <w:t xml:space="preserve">If a student misses an assessment without a valid reason, a </w:t>
      </w:r>
      <w:r w:rsidRPr="0025648D">
        <w:rPr>
          <w:rStyle w:val="a6"/>
          <w:lang w:val="en-US"/>
        </w:rPr>
        <w:t>"0"</w:t>
      </w:r>
      <w:r w:rsidRPr="0025648D">
        <w:rPr>
          <w:lang w:val="en-US"/>
        </w:rPr>
        <w:t xml:space="preserve"> is recorded in the Journal.</w:t>
      </w:r>
    </w:p>
    <w:p w:rsidR="0025648D" w:rsidRDefault="0025648D" w:rsidP="0025648D">
      <w:pPr>
        <w:pStyle w:val="a5"/>
        <w:numPr>
          <w:ilvl w:val="0"/>
          <w:numId w:val="8"/>
        </w:numPr>
        <w:divId w:val="531184906"/>
      </w:pPr>
      <w:r w:rsidRPr="0025648D">
        <w:rPr>
          <w:lang w:val="en-US"/>
        </w:rPr>
        <w:t xml:space="preserve">The Journal is signed by the instructor, department head, and faculty dean and is stored in the faculty dean’s office. </w:t>
      </w:r>
      <w:proofErr w:type="spellStart"/>
      <w:r>
        <w:t>The</w:t>
      </w:r>
      <w:proofErr w:type="spellEnd"/>
      <w:r>
        <w:t xml:space="preserve"> </w:t>
      </w:r>
      <w:proofErr w:type="spellStart"/>
      <w:r>
        <w:t>faculty</w:t>
      </w:r>
      <w:proofErr w:type="spellEnd"/>
      <w:r>
        <w:t xml:space="preserve"> </w:t>
      </w:r>
      <w:proofErr w:type="spellStart"/>
      <w:r>
        <w:t>dean</w:t>
      </w:r>
      <w:proofErr w:type="spellEnd"/>
      <w:r>
        <w:t xml:space="preserve">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its</w:t>
      </w:r>
      <w:proofErr w:type="spellEnd"/>
      <w:r>
        <w:t xml:space="preserve"> </w:t>
      </w:r>
      <w:proofErr w:type="spellStart"/>
      <w:r>
        <w:t>safekeeping</w:t>
      </w:r>
      <w:proofErr w:type="spellEnd"/>
      <w:r>
        <w:t>.</w:t>
      </w:r>
    </w:p>
    <w:p w:rsidR="0025648D" w:rsidRPr="0025648D" w:rsidRDefault="0025648D" w:rsidP="0025648D">
      <w:pPr>
        <w:pStyle w:val="a5"/>
        <w:numPr>
          <w:ilvl w:val="0"/>
          <w:numId w:val="8"/>
        </w:numPr>
        <w:divId w:val="531184906"/>
        <w:rPr>
          <w:lang w:val="en-US"/>
        </w:rPr>
      </w:pPr>
      <w:r w:rsidRPr="0025648D">
        <w:rPr>
          <w:lang w:val="en-US"/>
        </w:rPr>
        <w:t>Final assessment grades must be recorded in both the Journal and the student's Academic Record on the same day.</w:t>
      </w:r>
    </w:p>
    <w:p w:rsidR="0025648D" w:rsidRPr="0025648D" w:rsidRDefault="0025648D" w:rsidP="0025648D">
      <w:pPr>
        <w:pStyle w:val="a5"/>
        <w:numPr>
          <w:ilvl w:val="0"/>
          <w:numId w:val="8"/>
        </w:numPr>
        <w:divId w:val="531184906"/>
        <w:rPr>
          <w:lang w:val="en-US"/>
        </w:rPr>
      </w:pPr>
      <w:r w:rsidRPr="0025648D">
        <w:rPr>
          <w:lang w:val="en-US"/>
        </w:rPr>
        <w:t xml:space="preserve">If a student receives a grade of </w:t>
      </w:r>
      <w:r w:rsidRPr="0025648D">
        <w:rPr>
          <w:rStyle w:val="a6"/>
          <w:lang w:val="en-US"/>
        </w:rPr>
        <w:t>2 (Unsatisfactory)</w:t>
      </w:r>
      <w:r w:rsidRPr="0025648D">
        <w:rPr>
          <w:lang w:val="en-US"/>
        </w:rPr>
        <w:t xml:space="preserve"> or a </w:t>
      </w:r>
      <w:r w:rsidRPr="0025648D">
        <w:rPr>
          <w:rStyle w:val="a6"/>
          <w:lang w:val="en-US"/>
        </w:rPr>
        <w:t>"0"</w:t>
      </w:r>
      <w:r w:rsidRPr="0025648D">
        <w:rPr>
          <w:lang w:val="en-US"/>
        </w:rPr>
        <w:t xml:space="preserve"> in the final assessment, these marks are not recorded in the Academic Record.</w:t>
      </w:r>
    </w:p>
    <w:p w:rsidR="0025648D" w:rsidRPr="0025648D" w:rsidRDefault="0025648D" w:rsidP="0025648D">
      <w:pPr>
        <w:pStyle w:val="a5"/>
        <w:numPr>
          <w:ilvl w:val="0"/>
          <w:numId w:val="8"/>
        </w:numPr>
        <w:divId w:val="531184906"/>
        <w:rPr>
          <w:lang w:val="en-US"/>
        </w:rPr>
      </w:pPr>
      <w:r w:rsidRPr="0025648D">
        <w:rPr>
          <w:lang w:val="en-US"/>
        </w:rPr>
        <w:t>The faculty dean and course instructor are responsible for ensuring the Journal is maintained accurately and without unauthorized alterations.</w:t>
      </w:r>
    </w:p>
    <w:p w:rsidR="0025648D" w:rsidRPr="0025648D" w:rsidRDefault="0025648D" w:rsidP="0025648D">
      <w:pPr>
        <w:pStyle w:val="a5"/>
        <w:numPr>
          <w:ilvl w:val="0"/>
          <w:numId w:val="8"/>
        </w:numPr>
        <w:divId w:val="531184906"/>
        <w:rPr>
          <w:lang w:val="en-US"/>
        </w:rPr>
      </w:pPr>
      <w:r w:rsidRPr="0025648D">
        <w:rPr>
          <w:lang w:val="en-US"/>
        </w:rPr>
        <w:t xml:space="preserve">Students with grades of </w:t>
      </w:r>
      <w:r w:rsidRPr="0025648D">
        <w:rPr>
          <w:rStyle w:val="a6"/>
          <w:lang w:val="en-US"/>
        </w:rPr>
        <w:t>3 (Satisfactory)</w:t>
      </w:r>
      <w:r w:rsidRPr="0025648D">
        <w:rPr>
          <w:lang w:val="en-US"/>
        </w:rPr>
        <w:t xml:space="preserve">, </w:t>
      </w:r>
      <w:r w:rsidRPr="0025648D">
        <w:rPr>
          <w:rStyle w:val="a6"/>
          <w:lang w:val="en-US"/>
        </w:rPr>
        <w:t>4 (Good)</w:t>
      </w:r>
      <w:r w:rsidRPr="0025648D">
        <w:rPr>
          <w:lang w:val="en-US"/>
        </w:rPr>
        <w:t xml:space="preserve">, or </w:t>
      </w:r>
      <w:r w:rsidRPr="0025648D">
        <w:rPr>
          <w:rStyle w:val="a6"/>
          <w:lang w:val="en-US"/>
        </w:rPr>
        <w:t>5 (Excellent)</w:t>
      </w:r>
      <w:r w:rsidRPr="0025648D">
        <w:rPr>
          <w:lang w:val="en-US"/>
        </w:rPr>
        <w:t xml:space="preserve"> in all subjects are promoted to the next year of study by rector’s order.</w:t>
      </w:r>
    </w:p>
    <w:p w:rsidR="0025648D" w:rsidRPr="0025648D" w:rsidRDefault="0025648D" w:rsidP="0025648D">
      <w:pPr>
        <w:pStyle w:val="a5"/>
        <w:numPr>
          <w:ilvl w:val="0"/>
          <w:numId w:val="8"/>
        </w:numPr>
        <w:divId w:val="531184906"/>
        <w:rPr>
          <w:lang w:val="en-US"/>
        </w:rPr>
      </w:pPr>
      <w:r w:rsidRPr="0025648D">
        <w:rPr>
          <w:lang w:val="en-US"/>
        </w:rPr>
        <w:t>Assessment results are regularly discussed in department meetings, faculty councils, and university councils, where necessary decisions are made.</w:t>
      </w:r>
    </w:p>
    <w:p w:rsidR="0025648D" w:rsidRPr="0025648D" w:rsidRDefault="0025648D" w:rsidP="0025648D">
      <w:pPr>
        <w:pStyle w:val="a5"/>
        <w:numPr>
          <w:ilvl w:val="0"/>
          <w:numId w:val="8"/>
        </w:numPr>
        <w:divId w:val="531184906"/>
        <w:rPr>
          <w:lang w:val="en-US"/>
        </w:rPr>
      </w:pPr>
      <w:r w:rsidRPr="0025648D">
        <w:rPr>
          <w:lang w:val="en-US"/>
        </w:rPr>
        <w:t>Uzbekistan's higher education institutions may compare their grading system with the five-point, 100-point, or international grading systems as per the annex to this Regulation.</w:t>
      </w:r>
    </w:p>
    <w:p w:rsidR="0025648D" w:rsidRDefault="004B359F" w:rsidP="0025648D">
      <w:pPr>
        <w:divId w:val="531184906"/>
      </w:pPr>
      <w:r>
        <w:pict>
          <v:rect id="_x0000_i1027" style="width:0;height:1.5pt" o:hralign="center" o:hrstd="t" o:hr="t" fillcolor="#a0a0a0" stroked="f"/>
        </w:pict>
      </w:r>
    </w:p>
    <w:p w:rsidR="0025648D" w:rsidRDefault="0025648D" w:rsidP="0025648D">
      <w:pPr>
        <w:pStyle w:val="3"/>
        <w:divId w:val="531184906"/>
      </w:pPr>
      <w:proofErr w:type="spellStart"/>
      <w:r>
        <w:t>Chapter</w:t>
      </w:r>
      <w:proofErr w:type="spellEnd"/>
      <w:r>
        <w:t xml:space="preserve"> 5. </w:t>
      </w:r>
      <w:proofErr w:type="spellStart"/>
      <w:r>
        <w:t>Final</w:t>
      </w:r>
      <w:proofErr w:type="spellEnd"/>
      <w:r>
        <w:t xml:space="preserve"> </w:t>
      </w:r>
      <w:proofErr w:type="spellStart"/>
      <w:r>
        <w:t>Provisions</w:t>
      </w:r>
      <w:proofErr w:type="spellEnd"/>
    </w:p>
    <w:p w:rsidR="0025648D" w:rsidRPr="0025648D" w:rsidRDefault="0025648D" w:rsidP="0025648D">
      <w:pPr>
        <w:numPr>
          <w:ilvl w:val="0"/>
          <w:numId w:val="9"/>
        </w:numPr>
        <w:spacing w:before="100" w:beforeAutospacing="1" w:after="100" w:afterAutospacing="1"/>
        <w:divId w:val="531184906"/>
        <w:rPr>
          <w:lang w:val="en-US"/>
        </w:rPr>
      </w:pPr>
      <w:r w:rsidRPr="0025648D">
        <w:rPr>
          <w:lang w:val="en-US"/>
        </w:rPr>
        <w:t>This Regulation has been approved in coordination with the State Testing Center, the Ministry of Public Education, the State Inspectorate for Education Quality Control, the Ministry of Health, the Ministry of Economy, the Ministry of Finance, the Ministry of Foreign Affairs, the Ministry of Information Technologies and Communications Development, the Ministry of Culture, the Ministry of Physical Culture and Sports, the Ministry of Construction, "Uzbekistan Railways" JSC, the State Committee on Automobile Roads, "</w:t>
      </w:r>
      <w:proofErr w:type="spellStart"/>
      <w:r w:rsidRPr="0025648D">
        <w:rPr>
          <w:lang w:val="en-US"/>
        </w:rPr>
        <w:t>Navoi</w:t>
      </w:r>
      <w:proofErr w:type="spellEnd"/>
      <w:r w:rsidRPr="0025648D">
        <w:rPr>
          <w:lang w:val="en-US"/>
        </w:rPr>
        <w:t xml:space="preserve"> Mining and Metallurgical Combine" State Enterprise, the Academy of Arts of Uzbekistan, and the State Tax Committee.</w:t>
      </w:r>
    </w:p>
    <w:p w:rsidR="002F4FD3" w:rsidRPr="00CB41E8" w:rsidRDefault="002F4FD3">
      <w:pPr>
        <w:shd w:val="clear" w:color="auto" w:fill="FFFFFF"/>
        <w:ind w:firstLine="851"/>
        <w:jc w:val="both"/>
        <w:divId w:val="531184906"/>
        <w:rPr>
          <w:color w:val="000000"/>
          <w:lang w:val="en-US"/>
        </w:rPr>
      </w:pPr>
      <w:r w:rsidRPr="00CB41E8">
        <w:rPr>
          <w:color w:val="000000"/>
          <w:lang w:val="en-US"/>
        </w:rPr>
        <w:t xml:space="preserve">. </w:t>
      </w:r>
    </w:p>
    <w:p w:rsidR="00CB41E8" w:rsidRPr="00CB41E8" w:rsidRDefault="00CB41E8" w:rsidP="00CB41E8">
      <w:pPr>
        <w:pStyle w:val="a5"/>
        <w:rPr>
          <w:lang w:val="en-US"/>
        </w:rPr>
      </w:pPr>
      <w:r w:rsidRPr="00CB41E8">
        <w:rPr>
          <w:lang w:val="en-US"/>
        </w:rPr>
        <w:t>Appendix to the Regulation on the System of Monitoring and Assessing Students' Knowledge in Higher Educational Institutions</w:t>
      </w:r>
    </w:p>
    <w:p w:rsidR="00CB41E8" w:rsidRPr="00CB41E8" w:rsidRDefault="00CB41E8" w:rsidP="00CB41E8">
      <w:pPr>
        <w:pStyle w:val="a5"/>
        <w:rPr>
          <w:lang w:val="en-US"/>
        </w:rPr>
      </w:pPr>
      <w:r w:rsidRPr="00CB41E8">
        <w:rPr>
          <w:lang w:val="en-US"/>
        </w:rPr>
        <w:t>Table 1</w:t>
      </w:r>
      <w:r w:rsidRPr="00CB41E8">
        <w:rPr>
          <w:lang w:val="en-US"/>
        </w:rPr>
        <w:br/>
        <w:t>Conversion Table from a 5-Point Grading Scale to a 100-Point Scale</w:t>
      </w:r>
    </w:p>
    <w:tbl>
      <w:tblPr>
        <w:tblW w:w="5000" w:type="pct"/>
        <w:shd w:val="clear" w:color="auto" w:fill="FFFFFF"/>
        <w:tblCellMar>
          <w:left w:w="0" w:type="dxa"/>
          <w:right w:w="0" w:type="dxa"/>
        </w:tblCellMar>
        <w:tblLook w:val="04A0" w:firstRow="1" w:lastRow="0" w:firstColumn="1" w:lastColumn="0" w:noHBand="0" w:noVBand="1"/>
      </w:tblPr>
      <w:tblGrid>
        <w:gridCol w:w="1732"/>
        <w:gridCol w:w="1155"/>
        <w:gridCol w:w="192"/>
        <w:gridCol w:w="1635"/>
        <w:gridCol w:w="1154"/>
        <w:gridCol w:w="192"/>
        <w:gridCol w:w="1828"/>
        <w:gridCol w:w="1731"/>
      </w:tblGrid>
      <w:tr w:rsidR="002F4FD3">
        <w:trPr>
          <w:divId w:val="531184906"/>
        </w:trPr>
        <w:tc>
          <w:tcPr>
            <w:tcW w:w="5000" w:type="pct"/>
            <w:gridSpan w:val="8"/>
            <w:tcBorders>
              <w:top w:val="nil"/>
              <w:left w:val="nil"/>
              <w:bottom w:val="nil"/>
              <w:right w:val="nil"/>
            </w:tcBorders>
            <w:shd w:val="clear" w:color="auto" w:fill="FFFFFF"/>
            <w:tcMar>
              <w:top w:w="0" w:type="dxa"/>
              <w:left w:w="57" w:type="dxa"/>
              <w:bottom w:w="0" w:type="dxa"/>
              <w:right w:w="57" w:type="dxa"/>
            </w:tcMar>
            <w:vAlign w:val="center"/>
            <w:hideMark/>
          </w:tcPr>
          <w:p w:rsidR="002F4FD3" w:rsidRPr="00E31ED7" w:rsidRDefault="00E31ED7">
            <w:pPr>
              <w:jc w:val="right"/>
              <w:rPr>
                <w:lang w:val="en-US"/>
              </w:rPr>
            </w:pPr>
            <w:r>
              <w:rPr>
                <w:b/>
                <w:bCs/>
                <w:color w:val="000000"/>
              </w:rPr>
              <w:t>1-</w:t>
            </w:r>
            <w:r>
              <w:rPr>
                <w:b/>
                <w:bCs/>
                <w:color w:val="000000"/>
                <w:lang w:val="en-US"/>
              </w:rPr>
              <w:t>Table</w:t>
            </w:r>
          </w:p>
          <w:p w:rsidR="002F4FD3" w:rsidRPr="00183ABF" w:rsidRDefault="002F4FD3">
            <w:pPr>
              <w:spacing w:after="240"/>
              <w:jc w:val="center"/>
            </w:pPr>
          </w:p>
        </w:tc>
      </w:tr>
      <w:tr w:rsidR="002F4FD3">
        <w:trPr>
          <w:divId w:val="531184906"/>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CB41E8">
            <w:pPr>
              <w:snapToGrid w:val="0"/>
              <w:jc w:val="center"/>
            </w:pPr>
            <w:r w:rsidRPr="00CB41E8">
              <w:rPr>
                <w:lang w:val="en-US"/>
              </w:rPr>
              <w:t>5-Point Grading Scale</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CB41E8">
            <w:pPr>
              <w:snapToGrid w:val="0"/>
              <w:jc w:val="center"/>
            </w:pPr>
            <w:r w:rsidRPr="00CB41E8">
              <w:rPr>
                <w:lang w:val="en-US"/>
              </w:rPr>
              <w:t>100-Point Scale</w:t>
            </w:r>
          </w:p>
        </w:tc>
        <w:tc>
          <w:tcPr>
            <w:tcW w:w="1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Default="002F4FD3"/>
        </w:tc>
        <w:tc>
          <w:tcPr>
            <w:tcW w:w="8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CB41E8">
            <w:pPr>
              <w:snapToGrid w:val="0"/>
              <w:jc w:val="center"/>
            </w:pPr>
            <w:r w:rsidRPr="00CB41E8">
              <w:rPr>
                <w:lang w:val="en-US"/>
              </w:rPr>
              <w:t>5-Point Grading Scale</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CB41E8">
            <w:pPr>
              <w:snapToGrid w:val="0"/>
              <w:jc w:val="center"/>
            </w:pPr>
            <w:r w:rsidRPr="00CB41E8">
              <w:rPr>
                <w:lang w:val="en-US"/>
              </w:rPr>
              <w:t>100-Point Scale</w:t>
            </w:r>
          </w:p>
        </w:tc>
        <w:tc>
          <w:tcPr>
            <w:tcW w:w="1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Default="002F4FD3"/>
        </w:tc>
        <w:tc>
          <w:tcPr>
            <w:tcW w:w="9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CB41E8">
            <w:pPr>
              <w:snapToGrid w:val="0"/>
              <w:jc w:val="center"/>
            </w:pPr>
            <w:r w:rsidRPr="00CB41E8">
              <w:rPr>
                <w:lang w:val="en-US"/>
              </w:rPr>
              <w:t>5-Point Grading Scale</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CB41E8">
            <w:pPr>
              <w:snapToGrid w:val="0"/>
              <w:jc w:val="center"/>
            </w:pPr>
            <w:r w:rsidRPr="00CB41E8">
              <w:rPr>
                <w:lang w:val="en-US"/>
              </w:rPr>
              <w:t>100-Point Scale</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5,00 — 4,96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100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4,30 — 4,26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86</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3,60 — 3,56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72</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4,95 — 4,91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99</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4,25 — 4,21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85</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3,55 — 3,51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71</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lastRenderedPageBreak/>
              <w:t>4,90 — 4,86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98</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4,20 — 4,16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84</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3,50 — 3,46</w:t>
            </w:r>
          </w:p>
        </w:tc>
        <w:tc>
          <w:tcPr>
            <w:tcW w:w="60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70</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4,85 — 4,81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97</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4,15 — 4,11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3,45 — 3,41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69</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4,80 — 4,76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96</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4,10 — 4,06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3,40 — 3,36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68</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4,75 — 4,71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95</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4,05 — 4,01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81</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3,35 — 3,31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67</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4,70 — 4,66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94</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4,00 — 3,96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3,30 — 3,26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66</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4,65 — 4,61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3,95 — 3,91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79</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3,25 — 3,21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65</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4,60 — 4,56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3,90 — 3,86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78</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3,20 — 3,16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64</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4,55 — 4,51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91</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3,85 — 3,81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77</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3,15 — 3,11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63</w:t>
            </w:r>
          </w:p>
        </w:tc>
      </w:tr>
      <w:tr w:rsidR="002F4FD3">
        <w:trPr>
          <w:divId w:val="531184906"/>
        </w:trPr>
        <w:tc>
          <w:tcPr>
            <w:tcW w:w="900" w:type="pct"/>
            <w:tcBorders>
              <w:top w:val="nil"/>
              <w:left w:val="single" w:sz="8" w:space="0" w:color="auto"/>
              <w:bottom w:val="single" w:sz="12"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4,50 — 4,46</w:t>
            </w:r>
          </w:p>
        </w:tc>
        <w:tc>
          <w:tcPr>
            <w:tcW w:w="60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3,80 — 3,76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76</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3,10 — 3,06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62</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4,45 — 4,41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89</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3,75 — 3,71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75</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3,05 — 3,01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61</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4,40 — 4,36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88</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3,70 — 3,66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74</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3,00</w:t>
            </w:r>
          </w:p>
        </w:tc>
        <w:tc>
          <w:tcPr>
            <w:tcW w:w="60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60</w:t>
            </w:r>
          </w:p>
        </w:tc>
      </w:tr>
      <w:tr w:rsidR="002F4FD3">
        <w:trPr>
          <w:divId w:val="531184906"/>
        </w:trPr>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4,35 — 4,31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87</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3,65 — 3,61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F4FD3" w:rsidRDefault="002F4FD3"/>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CB41E8" w:rsidRDefault="002F4FD3" w:rsidP="00CB41E8">
            <w:pPr>
              <w:jc w:val="center"/>
              <w:rPr>
                <w:lang w:val="en-US"/>
              </w:rPr>
            </w:pPr>
            <w:r w:rsidRPr="00183ABF">
              <w:rPr>
                <w:b/>
                <w:bCs/>
                <w:color w:val="000000"/>
              </w:rPr>
              <w:t xml:space="preserve">3,0 </w:t>
            </w:r>
            <w:r w:rsidR="00CB41E8">
              <w:rPr>
                <w:b/>
                <w:bCs/>
                <w:color w:val="000000"/>
                <w:lang w:val="en-US"/>
              </w:rPr>
              <w:t>less than</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CB41E8" w:rsidRDefault="002F4FD3" w:rsidP="00CB41E8">
            <w:pPr>
              <w:jc w:val="center"/>
              <w:rPr>
                <w:lang w:val="en-US"/>
              </w:rPr>
            </w:pPr>
            <w:r w:rsidRPr="00183ABF">
              <w:rPr>
                <w:b/>
                <w:bCs/>
                <w:color w:val="000000"/>
              </w:rPr>
              <w:t xml:space="preserve">60 </w:t>
            </w:r>
            <w:r w:rsidR="00CB41E8">
              <w:rPr>
                <w:b/>
                <w:bCs/>
                <w:color w:val="000000"/>
                <w:lang w:val="en-US"/>
              </w:rPr>
              <w:t>less than</w:t>
            </w:r>
          </w:p>
        </w:tc>
      </w:tr>
    </w:tbl>
    <w:p w:rsidR="002F4FD3" w:rsidRDefault="002F4FD3">
      <w:pPr>
        <w:shd w:val="clear" w:color="auto" w:fill="FFFFFF"/>
        <w:jc w:val="both"/>
        <w:divId w:val="531184906"/>
        <w:rPr>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261"/>
        <w:gridCol w:w="957"/>
        <w:gridCol w:w="2015"/>
        <w:gridCol w:w="1127"/>
        <w:gridCol w:w="861"/>
        <w:gridCol w:w="1048"/>
        <w:gridCol w:w="915"/>
        <w:gridCol w:w="1435"/>
      </w:tblGrid>
      <w:tr w:rsidR="002F4FD3" w:rsidRPr="00D807F5">
        <w:trPr>
          <w:divId w:val="531184906"/>
        </w:trPr>
        <w:tc>
          <w:tcPr>
            <w:tcW w:w="5000" w:type="pct"/>
            <w:gridSpan w:val="8"/>
            <w:tcBorders>
              <w:top w:val="nil"/>
              <w:left w:val="nil"/>
              <w:bottom w:val="nil"/>
              <w:right w:val="nil"/>
            </w:tcBorders>
            <w:shd w:val="clear" w:color="auto" w:fill="FFFFFF"/>
            <w:tcMar>
              <w:top w:w="0" w:type="dxa"/>
              <w:left w:w="57" w:type="dxa"/>
              <w:bottom w:w="0" w:type="dxa"/>
              <w:right w:w="57" w:type="dxa"/>
            </w:tcMar>
            <w:vAlign w:val="center"/>
            <w:hideMark/>
          </w:tcPr>
          <w:p w:rsidR="002F4FD3" w:rsidRPr="00CB41E8" w:rsidRDefault="00CB41E8">
            <w:pPr>
              <w:jc w:val="right"/>
              <w:rPr>
                <w:lang w:val="en-US"/>
              </w:rPr>
            </w:pPr>
            <w:r w:rsidRPr="00CB41E8">
              <w:rPr>
                <w:b/>
                <w:bCs/>
                <w:color w:val="000000"/>
                <w:lang w:val="en-US"/>
              </w:rPr>
              <w:br/>
              <w:t>2-</w:t>
            </w:r>
            <w:r>
              <w:rPr>
                <w:b/>
                <w:bCs/>
                <w:color w:val="000000"/>
                <w:lang w:val="en-US"/>
              </w:rPr>
              <w:t>Table</w:t>
            </w:r>
          </w:p>
          <w:p w:rsidR="002F4FD3" w:rsidRPr="00E31ED7" w:rsidRDefault="00CB41E8" w:rsidP="00E31ED7">
            <w:pPr>
              <w:spacing w:after="240"/>
              <w:jc w:val="center"/>
              <w:rPr>
                <w:lang w:val="en-US"/>
              </w:rPr>
            </w:pPr>
            <w:r w:rsidRPr="00E31ED7">
              <w:rPr>
                <w:b/>
                <w:lang w:val="en-US"/>
              </w:rPr>
              <w:t>Comparative Analysis of Student Achievement Assessment Systems in Higher Education</w:t>
            </w:r>
            <w:r w:rsidR="002F4FD3" w:rsidRPr="00CB41E8">
              <w:rPr>
                <w:b/>
                <w:bCs/>
                <w:color w:val="000000"/>
                <w:lang w:val="en-US"/>
              </w:rPr>
              <w:br/>
            </w:r>
            <w:r w:rsidR="00E31ED7">
              <w:rPr>
                <w:b/>
                <w:bCs/>
                <w:color w:val="000000"/>
                <w:lang w:val="en-US"/>
              </w:rPr>
              <w:t>TABLE</w:t>
            </w:r>
          </w:p>
        </w:tc>
      </w:tr>
      <w:tr w:rsidR="002F4FD3" w:rsidTr="00E31ED7">
        <w:trPr>
          <w:divId w:val="531184906"/>
        </w:trPr>
        <w:tc>
          <w:tcPr>
            <w:tcW w:w="646"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E31ED7" w:rsidRDefault="00E31ED7">
            <w:pPr>
              <w:jc w:val="center"/>
              <w:rPr>
                <w:b/>
              </w:rPr>
            </w:pPr>
            <w:proofErr w:type="spellStart"/>
            <w:r w:rsidRPr="00E31ED7">
              <w:rPr>
                <w:b/>
              </w:rPr>
              <w:t>The</w:t>
            </w:r>
            <w:proofErr w:type="spellEnd"/>
            <w:r w:rsidRPr="00E31ED7">
              <w:rPr>
                <w:b/>
              </w:rPr>
              <w:t xml:space="preserve"> </w:t>
            </w:r>
            <w:proofErr w:type="spellStart"/>
            <w:r w:rsidRPr="00E31ED7">
              <w:rPr>
                <w:b/>
              </w:rPr>
              <w:t>Proposed</w:t>
            </w:r>
            <w:proofErr w:type="spellEnd"/>
            <w:r w:rsidRPr="00E31ED7">
              <w:rPr>
                <w:b/>
              </w:rPr>
              <w:t xml:space="preserve"> </w:t>
            </w:r>
            <w:proofErr w:type="spellStart"/>
            <w:r w:rsidRPr="00E31ED7">
              <w:rPr>
                <w:b/>
              </w:rPr>
              <w:t>Uzbekistan</w:t>
            </w:r>
            <w:proofErr w:type="spellEnd"/>
            <w:r w:rsidRPr="00E31ED7">
              <w:rPr>
                <w:b/>
              </w:rPr>
              <w:t xml:space="preserve"> </w:t>
            </w:r>
            <w:proofErr w:type="spellStart"/>
            <w:r w:rsidRPr="00E31ED7">
              <w:rPr>
                <w:b/>
              </w:rPr>
              <w:t>System</w:t>
            </w:r>
            <w:proofErr w:type="spellEnd"/>
          </w:p>
        </w:tc>
        <w:tc>
          <w:tcPr>
            <w:tcW w:w="514"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E31ED7" w:rsidRDefault="00E31ED7">
            <w:pPr>
              <w:jc w:val="center"/>
              <w:rPr>
                <w:lang w:val="en-US"/>
              </w:rPr>
            </w:pPr>
            <w:r>
              <w:rPr>
                <w:b/>
                <w:bCs/>
                <w:color w:val="000000"/>
                <w:lang w:val="en-US"/>
              </w:rPr>
              <w:t>Russian system</w:t>
            </w:r>
          </w:p>
        </w:tc>
        <w:tc>
          <w:tcPr>
            <w:tcW w:w="1064"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A855D3" w:rsidRDefault="00E31ED7" w:rsidP="00E31ED7">
            <w:pPr>
              <w:jc w:val="center"/>
              <w:rPr>
                <w:lang w:val="en-US"/>
              </w:rPr>
            </w:pPr>
            <w:r w:rsidRPr="00E31ED7">
              <w:rPr>
                <w:b/>
                <w:lang w:val="en-US"/>
              </w:rPr>
              <w:t>European Credit Transfer System</w:t>
            </w:r>
            <w:r>
              <w:rPr>
                <w:lang w:val="en-US"/>
              </w:rPr>
              <w:t xml:space="preserve"> </w:t>
            </w:r>
            <w:r w:rsidR="002F4FD3" w:rsidRPr="00A855D3">
              <w:rPr>
                <w:b/>
                <w:bCs/>
                <w:color w:val="000000"/>
                <w:lang w:val="en-US"/>
              </w:rPr>
              <w:t xml:space="preserve"> (ECTS — European Credit Transfer System)</w:t>
            </w:r>
          </w:p>
        </w:tc>
        <w:tc>
          <w:tcPr>
            <w:tcW w:w="578"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E31ED7" w:rsidRDefault="00E31ED7">
            <w:pPr>
              <w:jc w:val="center"/>
              <w:rPr>
                <w:lang w:val="en-US"/>
              </w:rPr>
            </w:pPr>
            <w:r>
              <w:rPr>
                <w:b/>
                <w:bCs/>
                <w:color w:val="000000"/>
                <w:lang w:val="en-US"/>
              </w:rPr>
              <w:t xml:space="preserve">American system </w:t>
            </w:r>
          </w:p>
          <w:p w:rsidR="002F4FD3" w:rsidRPr="00183ABF" w:rsidRDefault="002F4FD3">
            <w:pPr>
              <w:jc w:val="center"/>
            </w:pPr>
            <w:r w:rsidRPr="00183ABF">
              <w:rPr>
                <w:b/>
                <w:bCs/>
                <w:color w:val="000000"/>
              </w:rPr>
              <w:t>(А- F)</w:t>
            </w:r>
          </w:p>
        </w:tc>
        <w:tc>
          <w:tcPr>
            <w:tcW w:w="464"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E31ED7">
            <w:pPr>
              <w:jc w:val="center"/>
            </w:pPr>
            <w:r>
              <w:rPr>
                <w:b/>
                <w:bCs/>
                <w:color w:val="000000"/>
                <w:lang w:val="en-US"/>
              </w:rPr>
              <w:t>British system</w:t>
            </w:r>
            <w:r w:rsidRPr="00183ABF">
              <w:rPr>
                <w:b/>
                <w:bCs/>
                <w:color w:val="000000"/>
              </w:rPr>
              <w:t xml:space="preserve"> </w:t>
            </w:r>
            <w:r w:rsidR="002F4FD3" w:rsidRPr="00183ABF">
              <w:rPr>
                <w:b/>
                <w:bCs/>
                <w:color w:val="000000"/>
              </w:rPr>
              <w:t>(%)</w:t>
            </w:r>
          </w:p>
        </w:tc>
        <w:tc>
          <w:tcPr>
            <w:tcW w:w="537"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E31ED7">
            <w:pPr>
              <w:jc w:val="center"/>
            </w:pPr>
            <w:r>
              <w:rPr>
                <w:b/>
                <w:bCs/>
                <w:color w:val="000000"/>
                <w:lang w:val="en-US"/>
              </w:rPr>
              <w:t>Japanese system</w:t>
            </w:r>
            <w:r w:rsidRPr="00183ABF">
              <w:rPr>
                <w:b/>
                <w:bCs/>
                <w:color w:val="000000"/>
              </w:rPr>
              <w:t xml:space="preserve"> </w:t>
            </w:r>
            <w:r w:rsidR="002F4FD3" w:rsidRPr="00183ABF">
              <w:rPr>
                <w:b/>
                <w:bCs/>
                <w:color w:val="000000"/>
              </w:rPr>
              <w:t>(%)</w:t>
            </w:r>
          </w:p>
        </w:tc>
        <w:tc>
          <w:tcPr>
            <w:tcW w:w="492"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E31ED7">
            <w:pPr>
              <w:jc w:val="center"/>
            </w:pPr>
            <w:r>
              <w:rPr>
                <w:b/>
                <w:bCs/>
                <w:color w:val="000000"/>
                <w:lang w:val="en-US"/>
              </w:rPr>
              <w:t>Korean system</w:t>
            </w:r>
            <w:r w:rsidRPr="00183ABF">
              <w:rPr>
                <w:b/>
                <w:bCs/>
                <w:color w:val="000000"/>
              </w:rPr>
              <w:t xml:space="preserve"> </w:t>
            </w:r>
            <w:r w:rsidR="002F4FD3" w:rsidRPr="00183ABF">
              <w:rPr>
                <w:b/>
                <w:bCs/>
                <w:color w:val="000000"/>
              </w:rPr>
              <w:t>(%)</w:t>
            </w:r>
          </w:p>
        </w:tc>
        <w:tc>
          <w:tcPr>
            <w:tcW w:w="704"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E31ED7">
            <w:pPr>
              <w:jc w:val="center"/>
            </w:pPr>
            <w:r>
              <w:rPr>
                <w:b/>
                <w:bCs/>
                <w:color w:val="000000"/>
                <w:lang w:val="en-US"/>
              </w:rPr>
              <w:t>Uzbekistan’s system</w:t>
            </w:r>
            <w:r w:rsidRPr="00183ABF">
              <w:rPr>
                <w:b/>
                <w:bCs/>
                <w:color w:val="000000"/>
              </w:rPr>
              <w:t xml:space="preserve"> </w:t>
            </w:r>
            <w:r w:rsidR="002F4FD3" w:rsidRPr="00183ABF">
              <w:rPr>
                <w:b/>
                <w:bCs/>
                <w:color w:val="000000"/>
              </w:rPr>
              <w:t>(%)</w:t>
            </w:r>
          </w:p>
        </w:tc>
      </w:tr>
      <w:tr w:rsidR="002F4FD3" w:rsidTr="00E31ED7">
        <w:trPr>
          <w:divId w:val="531184906"/>
        </w:trPr>
        <w:tc>
          <w:tcPr>
            <w:tcW w:w="646"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«5»</w:t>
            </w:r>
          </w:p>
        </w:tc>
        <w:tc>
          <w:tcPr>
            <w:tcW w:w="51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«5»</w:t>
            </w:r>
          </w:p>
        </w:tc>
        <w:tc>
          <w:tcPr>
            <w:tcW w:w="10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«A»</w:t>
            </w:r>
          </w:p>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F4FD3" w:rsidRPr="00183ABF" w:rsidRDefault="002F4FD3">
            <w:pPr>
              <w:jc w:val="center"/>
            </w:pPr>
            <w:r w:rsidRPr="00183ABF">
              <w:rPr>
                <w:color w:val="000000"/>
              </w:rPr>
              <w:t>«A+»</w:t>
            </w:r>
          </w:p>
        </w:tc>
        <w:tc>
          <w:tcPr>
            <w:tcW w:w="4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70 — 100</w:t>
            </w:r>
          </w:p>
        </w:tc>
        <w:tc>
          <w:tcPr>
            <w:tcW w:w="537"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80 — 100</w:t>
            </w:r>
          </w:p>
        </w:tc>
        <w:tc>
          <w:tcPr>
            <w:tcW w:w="49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90 — 100</w:t>
            </w:r>
          </w:p>
        </w:tc>
        <w:tc>
          <w:tcPr>
            <w:tcW w:w="70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90 — 100</w:t>
            </w:r>
          </w:p>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F4FD3" w:rsidRPr="00183ABF" w:rsidRDefault="002F4FD3">
            <w:pPr>
              <w:jc w:val="center"/>
            </w:pPr>
            <w:r w:rsidRPr="00183ABF">
              <w:rPr>
                <w:color w:val="000000"/>
              </w:rPr>
              <w:t>«A»</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F4FD3" w:rsidRPr="00183ABF" w:rsidRDefault="002F4FD3">
            <w:pPr>
              <w:jc w:val="center"/>
            </w:pPr>
            <w:r w:rsidRPr="00183ABF">
              <w:rPr>
                <w:color w:val="000000"/>
              </w:rPr>
              <w:t>«A-»</w:t>
            </w:r>
          </w:p>
        </w:tc>
        <w:tc>
          <w:tcPr>
            <w:tcW w:w="4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65 — 69</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646"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w:t>
            </w:r>
          </w:p>
        </w:tc>
        <w:tc>
          <w:tcPr>
            <w:tcW w:w="51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w:t>
            </w:r>
          </w:p>
        </w:tc>
        <w:tc>
          <w:tcPr>
            <w:tcW w:w="10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«B»</w:t>
            </w:r>
          </w:p>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«B+»</w:t>
            </w:r>
          </w:p>
        </w:tc>
        <w:tc>
          <w:tcPr>
            <w:tcW w:w="4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60 — 64</w:t>
            </w:r>
          </w:p>
        </w:tc>
        <w:tc>
          <w:tcPr>
            <w:tcW w:w="537"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70 — 79</w:t>
            </w:r>
          </w:p>
        </w:tc>
        <w:tc>
          <w:tcPr>
            <w:tcW w:w="49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80 — 89</w:t>
            </w:r>
          </w:p>
        </w:tc>
        <w:tc>
          <w:tcPr>
            <w:tcW w:w="70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70 — 89,9</w:t>
            </w:r>
          </w:p>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10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«C»</w:t>
            </w:r>
          </w:p>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«B»</w:t>
            </w:r>
          </w:p>
        </w:tc>
        <w:tc>
          <w:tcPr>
            <w:tcW w:w="4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50 — 59</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«B-»</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646"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w:t>
            </w:r>
          </w:p>
        </w:tc>
        <w:tc>
          <w:tcPr>
            <w:tcW w:w="51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«3»</w:t>
            </w:r>
          </w:p>
        </w:tc>
        <w:tc>
          <w:tcPr>
            <w:tcW w:w="10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«D»</w:t>
            </w:r>
          </w:p>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«C+»</w:t>
            </w:r>
          </w:p>
        </w:tc>
        <w:tc>
          <w:tcPr>
            <w:tcW w:w="4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45 — 49</w:t>
            </w:r>
          </w:p>
        </w:tc>
        <w:tc>
          <w:tcPr>
            <w:tcW w:w="537"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60 — 69</w:t>
            </w:r>
          </w:p>
        </w:tc>
        <w:tc>
          <w:tcPr>
            <w:tcW w:w="49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70 — 79</w:t>
            </w:r>
          </w:p>
        </w:tc>
        <w:tc>
          <w:tcPr>
            <w:tcW w:w="70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60 — 69,9</w:t>
            </w:r>
          </w:p>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10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«E»</w:t>
            </w:r>
          </w:p>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«C»</w:t>
            </w:r>
          </w:p>
        </w:tc>
        <w:tc>
          <w:tcPr>
            <w:tcW w:w="4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40 — 44</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«C-»</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«D+»</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60 — 69</w:t>
            </w:r>
          </w:p>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«D»</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57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«D-»</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r w:rsidR="002F4FD3" w:rsidTr="00E31ED7">
        <w:trPr>
          <w:divId w:val="531184906"/>
        </w:trPr>
        <w:tc>
          <w:tcPr>
            <w:tcW w:w="646"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«2»</w:t>
            </w:r>
          </w:p>
        </w:tc>
        <w:tc>
          <w:tcPr>
            <w:tcW w:w="51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«2»</w:t>
            </w:r>
          </w:p>
        </w:tc>
        <w:tc>
          <w:tcPr>
            <w:tcW w:w="10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«FX»</w:t>
            </w:r>
          </w:p>
        </w:tc>
        <w:tc>
          <w:tcPr>
            <w:tcW w:w="578"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«F»</w:t>
            </w:r>
          </w:p>
        </w:tc>
        <w:tc>
          <w:tcPr>
            <w:tcW w:w="46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0 — 39</w:t>
            </w:r>
          </w:p>
        </w:tc>
        <w:tc>
          <w:tcPr>
            <w:tcW w:w="537"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0 — 59</w:t>
            </w:r>
          </w:p>
        </w:tc>
        <w:tc>
          <w:tcPr>
            <w:tcW w:w="49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0 — 59</w:t>
            </w:r>
          </w:p>
        </w:tc>
        <w:tc>
          <w:tcPr>
            <w:tcW w:w="70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0 — 59,9</w:t>
            </w:r>
          </w:p>
        </w:tc>
      </w:tr>
      <w:tr w:rsidR="002F4FD3" w:rsidTr="00E31ED7">
        <w:trPr>
          <w:divId w:val="5311849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106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F4FD3" w:rsidRPr="00183ABF" w:rsidRDefault="002F4FD3">
            <w:pPr>
              <w:jc w:val="center"/>
            </w:pPr>
            <w:r w:rsidRPr="00183ABF">
              <w:rPr>
                <w:color w:val="000000"/>
              </w:rPr>
              <w:t>«F»</w:t>
            </w:r>
          </w:p>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0" w:type="auto"/>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492"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c>
          <w:tcPr>
            <w:tcW w:w="704" w:type="pct"/>
            <w:vMerge/>
            <w:tcBorders>
              <w:top w:val="nil"/>
              <w:left w:val="nil"/>
              <w:bottom w:val="single" w:sz="8" w:space="0" w:color="auto"/>
              <w:right w:val="single" w:sz="8" w:space="0" w:color="auto"/>
            </w:tcBorders>
            <w:shd w:val="clear" w:color="auto" w:fill="FFFFFF"/>
            <w:vAlign w:val="center"/>
            <w:hideMark/>
          </w:tcPr>
          <w:p w:rsidR="002F4FD3" w:rsidRPr="00183ABF" w:rsidRDefault="002F4FD3"/>
        </w:tc>
      </w:tr>
    </w:tbl>
    <w:p w:rsidR="002F4FD3" w:rsidRDefault="002F4FD3">
      <w:pPr>
        <w:shd w:val="clear" w:color="auto" w:fill="FFFFFF"/>
        <w:divId w:val="531184906"/>
      </w:pPr>
    </w:p>
    <w:p w:rsidR="002F4FD3" w:rsidRPr="00E31ED7" w:rsidRDefault="002F4FD3" w:rsidP="00E31ED7">
      <w:pPr>
        <w:shd w:val="clear" w:color="auto" w:fill="FFFFFF"/>
        <w:jc w:val="center"/>
        <w:divId w:val="546796603"/>
        <w:rPr>
          <w:i/>
          <w:iCs/>
          <w:color w:val="800000"/>
          <w:sz w:val="22"/>
          <w:szCs w:val="22"/>
          <w:lang w:val="en-US"/>
        </w:rPr>
      </w:pPr>
      <w:r w:rsidRPr="00E31ED7">
        <w:rPr>
          <w:i/>
          <w:iCs/>
          <w:color w:val="800000"/>
          <w:sz w:val="22"/>
          <w:szCs w:val="22"/>
          <w:lang w:val="en-US"/>
        </w:rPr>
        <w:t>(</w:t>
      </w:r>
      <w:r w:rsidR="00E31ED7" w:rsidRPr="00E31ED7">
        <w:rPr>
          <w:lang w:val="en-US"/>
        </w:rPr>
        <w:t>National Database of Legislative Documents, 26.09.2018, No. 10/18/3069/1965</w:t>
      </w:r>
    </w:p>
    <w:sectPr w:rsidR="002F4FD3" w:rsidRPr="00E31ED7">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B2FA4"/>
    <w:multiLevelType w:val="multilevel"/>
    <w:tmpl w:val="C8E0AE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7687C"/>
    <w:multiLevelType w:val="multilevel"/>
    <w:tmpl w:val="6D3881A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E53145"/>
    <w:multiLevelType w:val="multilevel"/>
    <w:tmpl w:val="D9C88C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E0445E"/>
    <w:multiLevelType w:val="multilevel"/>
    <w:tmpl w:val="24FE66A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8B79C9"/>
    <w:multiLevelType w:val="multilevel"/>
    <w:tmpl w:val="C86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8C5334"/>
    <w:multiLevelType w:val="multilevel"/>
    <w:tmpl w:val="9768FD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BB4956"/>
    <w:multiLevelType w:val="multilevel"/>
    <w:tmpl w:val="770A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F663A7"/>
    <w:multiLevelType w:val="multilevel"/>
    <w:tmpl w:val="9F1A35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122390"/>
    <w:multiLevelType w:val="multilevel"/>
    <w:tmpl w:val="20CC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7"/>
  </w:num>
  <w:num w:numId="5">
    <w:abstractNumId w:val="4"/>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E8"/>
    <w:rsid w:val="00183ABF"/>
    <w:rsid w:val="0025648D"/>
    <w:rsid w:val="002B38AD"/>
    <w:rsid w:val="002F4FD3"/>
    <w:rsid w:val="004B359F"/>
    <w:rsid w:val="00A855D3"/>
    <w:rsid w:val="00CB41E8"/>
    <w:rsid w:val="00D807F5"/>
    <w:rsid w:val="00E247A2"/>
    <w:rsid w:val="00E3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47D7A3-797B-4922-8153-19C4165B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25648D"/>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25648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uiPriority w:val="22"/>
    <w:qFormat/>
    <w:rsid w:val="002B38AD"/>
    <w:rPr>
      <w:b/>
      <w:bCs/>
    </w:rPr>
  </w:style>
  <w:style w:type="character" w:customStyle="1" w:styleId="30">
    <w:name w:val="Заголовок 3 Знак"/>
    <w:link w:val="3"/>
    <w:uiPriority w:val="9"/>
    <w:rsid w:val="0025648D"/>
    <w:rPr>
      <w:b/>
      <w:bCs/>
      <w:sz w:val="27"/>
      <w:szCs w:val="27"/>
    </w:rPr>
  </w:style>
  <w:style w:type="character" w:customStyle="1" w:styleId="overflow-hidden">
    <w:name w:val="overflow-hidden"/>
    <w:rsid w:val="0025648D"/>
  </w:style>
  <w:style w:type="character" w:customStyle="1" w:styleId="40">
    <w:name w:val="Заголовок 4 Знак"/>
    <w:link w:val="4"/>
    <w:uiPriority w:val="9"/>
    <w:semiHidden/>
    <w:rsid w:val="0025648D"/>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84906">
      <w:marLeft w:val="0"/>
      <w:marRight w:val="0"/>
      <w:marTop w:val="100"/>
      <w:marBottom w:val="100"/>
      <w:divBdr>
        <w:top w:val="none" w:sz="0" w:space="0" w:color="auto"/>
        <w:left w:val="none" w:sz="0" w:space="0" w:color="auto"/>
        <w:bottom w:val="none" w:sz="0" w:space="0" w:color="auto"/>
        <w:right w:val="none" w:sz="0" w:space="0" w:color="auto"/>
      </w:divBdr>
      <w:divsChild>
        <w:div w:id="859389628">
          <w:marLeft w:val="0"/>
          <w:marRight w:val="0"/>
          <w:marTop w:val="120"/>
          <w:marBottom w:val="60"/>
          <w:divBdr>
            <w:top w:val="none" w:sz="0" w:space="0" w:color="auto"/>
            <w:left w:val="none" w:sz="0" w:space="0" w:color="auto"/>
            <w:bottom w:val="none" w:sz="0" w:space="0" w:color="auto"/>
            <w:right w:val="none" w:sz="0" w:space="0" w:color="auto"/>
          </w:divBdr>
        </w:div>
        <w:div w:id="1172378558">
          <w:marLeft w:val="0"/>
          <w:marRight w:val="0"/>
          <w:marTop w:val="240"/>
          <w:marBottom w:val="120"/>
          <w:divBdr>
            <w:top w:val="none" w:sz="0" w:space="0" w:color="auto"/>
            <w:left w:val="none" w:sz="0" w:space="0" w:color="auto"/>
            <w:bottom w:val="none" w:sz="0" w:space="0" w:color="auto"/>
            <w:right w:val="none" w:sz="0" w:space="0" w:color="auto"/>
          </w:divBdr>
        </w:div>
        <w:div w:id="1412190355">
          <w:marLeft w:val="0"/>
          <w:marRight w:val="70"/>
          <w:marTop w:val="0"/>
          <w:marBottom w:val="0"/>
          <w:divBdr>
            <w:top w:val="none" w:sz="0" w:space="0" w:color="auto"/>
            <w:left w:val="none" w:sz="0" w:space="0" w:color="auto"/>
            <w:bottom w:val="none" w:sz="0" w:space="0" w:color="auto"/>
            <w:right w:val="none" w:sz="0" w:space="0" w:color="auto"/>
          </w:divBdr>
        </w:div>
        <w:div w:id="1803884444">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ypk\OneDrive\&#1056;&#1072;&#1073;&#1086;&#1095;&#1080;&#1081;%20&#1089;&#1090;&#1086;&#1083;\3069%2026.09.201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3069 26.09.2018</Template>
  <TotalTime>2</TotalTime>
  <Pages>1</Pages>
  <Words>1899</Words>
  <Characters>10827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3069 26.09.2018</vt:lpstr>
    </vt:vector>
  </TitlesOfParts>
  <Company>Home</Company>
  <LinksUpToDate>false</LinksUpToDate>
  <CharactersWithSpaces>12701</CharactersWithSpaces>
  <SharedDoc>false</SharedDoc>
  <HLinks>
    <vt:vector size="6" baseType="variant">
      <vt:variant>
        <vt:i4>2555938</vt:i4>
      </vt:variant>
      <vt:variant>
        <vt:i4>0</vt:i4>
      </vt:variant>
      <vt:variant>
        <vt:i4>0</vt:i4>
      </vt:variant>
      <vt:variant>
        <vt:i4>5</vt:i4>
      </vt:variant>
      <vt:variant>
        <vt:lpwstr>javascript:scrollText(3920500)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3069 26.09.2018</dc:title>
  <dc:creator>Пользователь Админ</dc:creator>
  <cp:lastModifiedBy>User</cp:lastModifiedBy>
  <cp:revision>4</cp:revision>
  <dcterms:created xsi:type="dcterms:W3CDTF">2025-02-26T12:31:00Z</dcterms:created>
  <dcterms:modified xsi:type="dcterms:W3CDTF">2025-02-26T12:32:00Z</dcterms:modified>
</cp:coreProperties>
</file>